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rPr>
          <w:rFonts w:eastAsia="TimesNewRomanPSMT"/>
          <w:sz w:val="28"/>
          <w:szCs w:val="28"/>
        </w:rPr>
      </w:pPr>
      <w:r>
        <w:rPr>
          <w:rFonts w:eastAsia="TimesNewRomanPSMT"/>
          <w:sz w:val="28"/>
          <w:szCs w:val="28"/>
        </w:rPr>
        <w:t xml:space="preserve">ПРАВИТЕЛЬСТВО ОРЕНБУРГСКОЙ ОБЛАСТИ</w:t>
      </w:r>
    </w:p>
    <w:p>
      <w:pPr>
        <w:jc w:val="center"/>
        <w:rPr>
          <w:rFonts w:eastAsia="TimesNewRomanPSMT"/>
          <w:sz w:val="28"/>
          <w:szCs w:val="28"/>
        </w:rPr>
      </w:pPr>
    </w:p>
    <w:p>
      <w:pPr>
        <w:jc w:val="center"/>
        <w:rPr>
          <w:rFonts w:eastAsia="TimesNewRomanPSMT"/>
          <w:sz w:val="28"/>
          <w:szCs w:val="28"/>
        </w:rPr>
      </w:pPr>
      <w:r>
        <w:rPr>
          <w:rFonts w:eastAsia="TimesNewRomanPSMT"/>
          <w:sz w:val="28"/>
          <w:szCs w:val="28"/>
        </w:rPr>
        <w:t xml:space="preserve">П О С Т А Н О В Л Е Н И Е</w:t>
      </w:r>
    </w:p>
    <w:p>
      <w:pPr>
        <w:jc w:val="center"/>
        <w:rPr>
          <w:rFonts w:eastAsia="TimesNewRomanPSMT"/>
          <w:sz w:val="28"/>
          <w:szCs w:val="28"/>
        </w:rPr>
      </w:pPr>
    </w:p>
    <w:p>
      <w:pPr>
        <w:jc w:val="center"/>
        <w:rPr>
          <w:rFonts w:eastAsia="TimesNewRomanPSMT"/>
          <w:sz w:val="28"/>
          <w:szCs w:val="28"/>
        </w:rPr>
      </w:pPr>
      <w:r>
        <w:rPr>
          <w:rFonts w:eastAsia="TimesNewRomanPSMT"/>
          <w:sz w:val="28"/>
          <w:szCs w:val="28"/>
        </w:rPr>
        <w:t xml:space="preserve">30.10.2025                                      г. Оренбург                                      № </w:t>
      </w:r>
      <w:r>
        <w:rPr>
          <w:rFonts w:eastAsia="TimesNewRomanPSMT"/>
          <w:sz w:val="28"/>
          <w:szCs w:val="28"/>
        </w:rPr>
        <w:t xml:space="preserve">1201</w:t>
      </w:r>
      <w:r>
        <w:rPr>
          <w:rFonts w:eastAsia="TimesNewRomanPSMT"/>
          <w:sz w:val="28"/>
          <w:szCs w:val="28"/>
        </w:rPr>
        <w:t xml:space="preserve">-пп</w:t>
      </w:r>
    </w:p>
    <w:p>
      <w:pPr>
        <w:pStyle w:val="af6"/>
        <w:ind w:firstLine="0"/>
        <w:jc w:val="center"/>
        <w:rPr>
          <w:sz w:val="28"/>
          <w:szCs w:val="28"/>
          <w:highlight w:val="white"/>
        </w:rPr>
      </w:pPr>
    </w:p>
    <w:p>
      <w:pPr>
        <w:pStyle w:val="af6"/>
        <w:ind w:firstLine="0"/>
        <w:jc w:val="center"/>
        <w:rPr>
          <w:sz w:val="28"/>
          <w:szCs w:val="28"/>
          <w:highlight w:val="white"/>
        </w:rPr>
      </w:pPr>
    </w:p>
    <w:p>
      <w:pPr>
        <w:pStyle w:val="af6"/>
        <w:ind w:firstLine="0"/>
        <w:jc w:val="center"/>
        <w:rPr>
          <w:sz w:val="28"/>
          <w:szCs w:val="28"/>
          <w:highlight w:val="white"/>
        </w:rPr>
      </w:pPr>
    </w:p>
    <w:p>
      <w:pPr>
        <w:pStyle w:val="af6"/>
        <w:ind w:firstLine="0"/>
        <w:jc w:val="center"/>
        <w:rPr>
          <w:sz w:val="28"/>
          <w:szCs w:val="28"/>
          <w:highlight w:val="white"/>
        </w:rPr>
      </w:pPr>
      <w:r>
        <w:rPr>
          <w:sz w:val="28"/>
          <w:szCs w:val="28"/>
          <w:highlight w:val="white"/>
        </w:rPr>
        <w:t xml:space="preserve">О прогнозе социально-экономического развития </w:t>
      </w:r>
    </w:p>
    <w:p>
      <w:pPr>
        <w:pStyle w:val="af6"/>
        <w:ind w:firstLine="0"/>
        <w:jc w:val="center"/>
        <w:rPr>
          <w:sz w:val="28"/>
          <w:szCs w:val="28"/>
          <w:highlight w:val="white"/>
        </w:rPr>
      </w:pPr>
      <w:r>
        <w:rPr>
          <w:sz w:val="28"/>
          <w:szCs w:val="28"/>
          <w:highlight w:val="white"/>
        </w:rPr>
        <w:t xml:space="preserve">Оренбургской области на 2026 год и на плановый период 2027 и 2028 годов</w:t>
      </w:r>
    </w:p>
    <w:p>
      <w:pPr>
        <w:pStyle w:val="BlockQuotation"/>
        <w:widowControl/>
        <w:tabs>
          <w:tab w:val="left" w:pos="-426"/>
          <w:tab w:val="left" w:pos="4911"/>
        </w:tabs>
        <w:ind w:right="425" w:hanging="709"/>
        <w:jc w:val="left"/>
        <w:rPr>
          <w:highlight w:val="white"/>
        </w:rPr>
      </w:pPr>
      <w:r>
        <w:rPr>
          <w:highlight w:val="white"/>
        </w:rPr>
        <w:tab/>
      </w:r>
      <w:r>
        <w:rPr>
          <w:highlight w:val="white"/>
        </w:rPr>
        <w:tab/>
      </w:r>
    </w:p>
    <w:p>
      <w:pPr>
        <w:pStyle w:val="BlockQuotation"/>
        <w:widowControl/>
        <w:tabs>
          <w:tab w:val="left" w:pos="-426"/>
          <w:tab w:val="left" w:pos="4911"/>
        </w:tabs>
        <w:ind w:right="425" w:hanging="709"/>
        <w:jc w:val="left"/>
        <w:rPr>
          <w:highlight w:val="white"/>
        </w:rPr>
      </w:pPr>
    </w:p>
    <w:p>
      <w:pPr>
        <w:pStyle w:val="27"/>
        <w:rPr>
          <w:sz w:val="28"/>
          <w:szCs w:val="28"/>
          <w:highlight w:val="white"/>
        </w:rPr>
      </w:pPr>
      <w:r>
        <w:rPr>
          <w:sz w:val="28"/>
          <w:szCs w:val="28"/>
          <w:highlight w:val="white"/>
        </w:rPr>
        <w:t xml:space="preserve">В соответствии со статьей 173 Бюджетного кодекса Российской                    Федерации Правительство Оренбургской </w:t>
      </w:r>
      <w:r>
        <w:rPr>
          <w:sz w:val="28"/>
          <w:szCs w:val="28"/>
          <w:highlight w:val="white"/>
        </w:rPr>
        <w:t xml:space="preserve">области  п</w:t>
      </w:r>
      <w:r>
        <w:rPr>
          <w:sz w:val="28"/>
          <w:szCs w:val="28"/>
          <w:highlight w:val="white"/>
        </w:rPr>
        <w:t xml:space="preserve"> о с т а н о в л я е т: </w:t>
      </w:r>
    </w:p>
    <w:p>
      <w:pPr>
        <w:pStyle w:val="27"/>
        <w:rPr>
          <w:sz w:val="28"/>
          <w:szCs w:val="28"/>
          <w:highlight w:val="white"/>
        </w:rPr>
      </w:pPr>
      <w:r>
        <w:rPr>
          <w:sz w:val="28"/>
          <w:szCs w:val="28"/>
          <w:highlight w:val="white"/>
        </w:rPr>
        <w:t xml:space="preserve">1. Одобрить прогноз социально-экономического развития Оренбургской области на 2026 год и на плановый период 2027 и 2028 годов согласно приложению. </w:t>
      </w:r>
    </w:p>
    <w:p>
      <w:pPr>
        <w:pStyle w:val="27"/>
        <w:rPr>
          <w:sz w:val="28"/>
          <w:szCs w:val="28"/>
          <w:highlight w:val="white"/>
        </w:rPr>
      </w:pPr>
      <w:r>
        <w:rPr>
          <w:sz w:val="28"/>
          <w:szCs w:val="28"/>
          <w:highlight w:val="white"/>
        </w:rPr>
        <w:t xml:space="preserve">2.</w:t>
      </w:r>
      <w:r>
        <w:rPr>
          <w:sz w:val="28"/>
          <w:szCs w:val="28"/>
          <w:highlight w:val="white"/>
        </w:rPr>
        <w:t xml:space="preserve"> </w:t>
      </w:r>
      <w:r>
        <w:rPr>
          <w:sz w:val="28"/>
          <w:szCs w:val="28"/>
          <w:highlight w:val="white"/>
        </w:rPr>
        <w:t xml:space="preserve">Руководителям исполнительных органов Оренбургской области (участникам формирования прогноза) до 1 апреля 2027 года представить в министерство экономического развития, инвестиций, туризма и внешних связей Оренбургской области информацию о реализации прогноза социально-экономического развития Оренбургской области на 2026 год и на плановый период 2027 и 2028 годов.</w:t>
      </w:r>
    </w:p>
    <w:p>
      <w:pPr>
        <w:ind w:firstLine="709"/>
        <w:jc w:val="both"/>
        <w:rPr>
          <w:sz w:val="28"/>
          <w:szCs w:val="28"/>
          <w:highlight w:val="white"/>
        </w:rPr>
      </w:pPr>
      <w:r>
        <w:rPr>
          <w:sz w:val="28"/>
          <w:szCs w:val="28"/>
          <w:highlight w:val="white"/>
        </w:rPr>
        <w:t xml:space="preserve">3. Признать утратившими силу:</w:t>
      </w:r>
    </w:p>
    <w:p>
      <w:pPr>
        <w:ind w:firstLine="709"/>
        <w:jc w:val="both"/>
        <w:rPr>
          <w:sz w:val="28"/>
          <w:szCs w:val="28"/>
        </w:rPr>
      </w:pPr>
      <w:r>
        <w:rPr>
          <w:sz w:val="28"/>
          <w:szCs w:val="28"/>
          <w:highlight w:val="white"/>
        </w:rPr>
        <w:t xml:space="preserve">постановление Правительства Оренбургской области от 24 октября  </w:t>
      </w:r>
      <w:r>
        <w:rPr>
          <w:sz w:val="28"/>
          <w:szCs w:val="28"/>
          <w:highlight w:val="white"/>
        </w:rPr>
        <w:br/>
      </w:r>
      <w:r>
        <w:rPr>
          <w:sz w:val="28"/>
          <w:szCs w:val="28"/>
          <w:highlight w:val="white"/>
        </w:rPr>
        <w:t xml:space="preserve">2023 года № 1049-пп «О прогнозе социально-экономического развития Оренбургской области на 2024 год и на плановый период 2025 и 2026 годов»;</w:t>
      </w:r>
    </w:p>
    <w:p>
      <w:pPr>
        <w:pBdr>
          <w:top w:val="none" w:color="000000" w:sz="4" w:space="0"/>
          <w:left w:val="none" w:color="000000" w:sz="4" w:space="0"/>
          <w:bottom w:val="none" w:color="000000" w:sz="4" w:space="0"/>
          <w:right w:val="none" w:color="000000" w:sz="4" w:space="0"/>
        </w:pBdr>
        <w:ind w:firstLine="709"/>
        <w:jc w:val="both"/>
        <w:rPr>
          <w:sz w:val="28"/>
          <w:szCs w:val="28"/>
          <w:highlight w:val="white"/>
        </w:rPr>
      </w:pPr>
      <w:r>
        <w:rPr>
          <w:sz w:val="28"/>
          <w:szCs w:val="28"/>
          <w:highlight w:val="white"/>
        </w:rPr>
        <w:t xml:space="preserve">пункт 4 приложения к постановлению Правительства Оренбургской области от 21 ноября 2024 года № 995-пп «О внесении изменений в некоторые постановления Правительства Оренбургской области».</w:t>
      </w:r>
    </w:p>
    <w:p>
      <w:pPr>
        <w:ind w:firstLine="709"/>
        <w:jc w:val="both"/>
        <w:rPr>
          <w:sz w:val="28"/>
          <w:szCs w:val="28"/>
          <w:highlight w:val="white"/>
        </w:rPr>
      </w:pPr>
      <w:r>
        <w:rPr>
          <w:sz w:val="28"/>
          <w:szCs w:val="28"/>
          <w:highlight w:val="white"/>
        </w:rPr>
        <w:t xml:space="preserve">4. Контроль за исполнением настоящего постановления возложить на вице-губернатора – заместителя председателя Правительства Оренбургской области по экономической и инвестиционной политике – министра экономического развития, инвестиций, туризма и внешних связей Оренбургской области.</w:t>
      </w:r>
    </w:p>
    <w:p>
      <w:pPr>
        <w:pStyle w:val="27"/>
        <w:rPr>
          <w:sz w:val="28"/>
          <w:szCs w:val="28"/>
          <w:highlight w:val="white"/>
        </w:rPr>
      </w:pPr>
      <w:r>
        <w:rPr>
          <w:sz w:val="28"/>
          <w:szCs w:val="28"/>
          <w:highlight w:val="white"/>
        </w:rPr>
        <w:t xml:space="preserve">5. Постановление вступает в силу со дня его подписания.</w:t>
      </w:r>
    </w:p>
    <w:p>
      <w:pPr>
        <w:jc w:val="center"/>
        <w:rPr>
          <w:sz w:val="28"/>
          <w:szCs w:val="28"/>
          <w:highlight w:val="white"/>
        </w:rPr>
      </w:pPr>
    </w:p>
    <w:p>
      <w:pPr>
        <w:jc w:val="center"/>
        <w:rPr>
          <w:sz w:val="28"/>
          <w:szCs w:val="28"/>
          <w:highlight w:val="white"/>
        </w:rPr>
      </w:pPr>
    </w:p>
    <w:p>
      <w:pPr>
        <w:jc w:val="center"/>
        <w:rPr>
          <w:sz w:val="28"/>
          <w:szCs w:val="28"/>
          <w:highlight w:val="white"/>
        </w:rPr>
      </w:pPr>
    </w:p>
    <w:p>
      <w:pPr>
        <w:rPr>
          <w:sz w:val="28"/>
          <w:szCs w:val="28"/>
        </w:rPr>
      </w:pPr>
      <w:r>
        <w:rPr>
          <w:sz w:val="28"/>
          <w:szCs w:val="28"/>
        </w:rPr>
        <w:t xml:space="preserve">Губернатор – </w:t>
      </w:r>
    </w:p>
    <w:p>
      <w:pPr>
        <w:rPr>
          <w:sz w:val="28"/>
          <w:szCs w:val="28"/>
        </w:rPr>
      </w:pPr>
      <w:r>
        <w:rPr>
          <w:sz w:val="28"/>
          <w:szCs w:val="28"/>
        </w:rPr>
        <w:t xml:space="preserve">председатель Правительства                                                              </w:t>
      </w:r>
      <w:r>
        <w:rPr>
          <w:sz w:val="28"/>
          <w:szCs w:val="28"/>
        </w:rPr>
        <w:t xml:space="preserve">Е.А.Солнцев</w:t>
      </w:r>
    </w:p>
    <w:p>
      <w:pPr>
        <w:ind w:left="5220"/>
        <w:rPr>
          <w:sz w:val="28"/>
          <w:szCs w:val="28"/>
        </w:rPr>
      </w:pPr>
      <w:r>
        <w:rPr>
          <w:sz w:val="28"/>
          <w:szCs w:val="28"/>
        </w:rPr>
        <w:br w:type="page" w:clear="all"/>
      </w:r>
      <w:r>
        <w:rPr>
          <w:sz w:val="28"/>
          <w:szCs w:val="28"/>
        </w:rPr>
        <w:t xml:space="preserve">Приложение </w:t>
      </w:r>
    </w:p>
    <w:p>
      <w:pPr>
        <w:tabs>
          <w:tab w:val="left" w:pos="6342"/>
          <w:tab w:val="left" w:pos="9513"/>
        </w:tabs>
        <w:ind w:left="5220"/>
        <w:rPr>
          <w:sz w:val="28"/>
          <w:szCs w:val="28"/>
        </w:rPr>
      </w:pPr>
      <w:r>
        <w:rPr>
          <w:sz w:val="28"/>
          <w:szCs w:val="28"/>
        </w:rPr>
        <w:t xml:space="preserve">к постановлению Правительства Оренбургской области </w:t>
      </w:r>
    </w:p>
    <w:p>
      <w:pPr>
        <w:tabs>
          <w:tab w:val="left" w:pos="6342"/>
          <w:tab w:val="left" w:pos="9513"/>
        </w:tabs>
        <w:ind w:left="5220"/>
        <w:rPr>
          <w:sz w:val="28"/>
          <w:szCs w:val="28"/>
        </w:rPr>
      </w:pPr>
      <w:r>
        <w:rPr>
          <w:sz w:val="28"/>
          <w:szCs w:val="28"/>
        </w:rPr>
        <w:t xml:space="preserve">от </w:t>
      </w:r>
      <w:r>
        <w:rPr>
          <w:sz w:val="28"/>
          <w:szCs w:val="28"/>
        </w:rPr>
        <w:t xml:space="preserve">30.10.2025 № 1201-пп</w:t>
      </w:r>
      <w:bookmarkStart w:id="0" w:name="_GoBack"/>
      <w:bookmarkEnd w:id="0"/>
    </w:p>
    <w:p/>
    <w:p>
      <w:pPr>
        <w:jc w:val="center"/>
        <w:rPr>
          <w:b/>
          <w:sz w:val="28"/>
          <w:szCs w:val="28"/>
          <w:highlight w:val="white"/>
        </w:rPr>
      </w:pPr>
    </w:p>
    <w:p>
      <w:pPr>
        <w:jc w:val="center"/>
        <w:rPr>
          <w:sz w:val="28"/>
          <w:szCs w:val="28"/>
          <w:highlight w:val="white"/>
        </w:rPr>
      </w:pPr>
      <w:r>
        <w:rPr>
          <w:sz w:val="28"/>
          <w:szCs w:val="28"/>
          <w:highlight w:val="white"/>
        </w:rPr>
        <w:t xml:space="preserve">Прогноз </w:t>
      </w:r>
    </w:p>
    <w:p>
      <w:pPr>
        <w:jc w:val="center"/>
        <w:rPr>
          <w:sz w:val="28"/>
          <w:szCs w:val="28"/>
          <w:highlight w:val="white"/>
        </w:rPr>
      </w:pPr>
      <w:r>
        <w:rPr>
          <w:sz w:val="28"/>
          <w:szCs w:val="28"/>
          <w:highlight w:val="white"/>
        </w:rPr>
        <w:t xml:space="preserve">социально-экономического развития Оренбургской области </w:t>
      </w:r>
    </w:p>
    <w:p>
      <w:pPr>
        <w:pStyle w:val="af1"/>
        <w:ind w:firstLine="709"/>
        <w:jc w:val="center"/>
        <w:rPr>
          <w:b/>
          <w:bCs/>
          <w:sz w:val="12"/>
          <w:szCs w:val="12"/>
          <w:highlight w:val="white"/>
        </w:rPr>
      </w:pPr>
      <w:r>
        <w:rPr>
          <w:sz w:val="28"/>
          <w:szCs w:val="28"/>
          <w:highlight w:val="white"/>
        </w:rPr>
        <w:t xml:space="preserve">на 2026 год и на плановый период 2027 и 2028 годов</w:t>
      </w:r>
    </w:p>
    <w:p>
      <w:pPr>
        <w:jc w:val="both"/>
        <w:rPr>
          <w:sz w:val="12"/>
          <w:szCs w:val="12"/>
          <w:highlight w:val="white"/>
        </w:rPr>
      </w:pPr>
    </w:p>
    <w:p>
      <w:pPr>
        <w:jc w:val="both"/>
        <w:rPr>
          <w:sz w:val="12"/>
          <w:szCs w:val="12"/>
          <w:highlight w:val="white"/>
        </w:rPr>
      </w:pPr>
    </w:p>
    <w:p>
      <w:pPr>
        <w:jc w:val="both"/>
        <w:rPr>
          <w:sz w:val="12"/>
          <w:szCs w:val="12"/>
          <w:highlight w:val="white"/>
        </w:rPr>
      </w:pPr>
    </w:p>
    <w:p>
      <w:pPr>
        <w:pStyle w:val="25"/>
        <w:jc w:val="center"/>
        <w:rPr>
          <w:b w:val="0"/>
          <w:bCs w:val="0"/>
          <w:sz w:val="28"/>
          <w:szCs w:val="28"/>
          <w:highlight w:val="white"/>
        </w:rPr>
      </w:pPr>
      <w:r>
        <w:rPr>
          <w:b w:val="0"/>
          <w:sz w:val="28"/>
          <w:szCs w:val="28"/>
          <w:highlight w:val="white"/>
        </w:rPr>
        <w:t xml:space="preserve">Оценка достигнутого уровня социально-экономического развития </w:t>
      </w:r>
    </w:p>
    <w:p>
      <w:pPr>
        <w:pStyle w:val="25"/>
        <w:jc w:val="center"/>
        <w:rPr>
          <w:b w:val="0"/>
          <w:bCs w:val="0"/>
          <w:sz w:val="28"/>
          <w:szCs w:val="28"/>
          <w:highlight w:val="white"/>
        </w:rPr>
      </w:pPr>
      <w:r>
        <w:rPr>
          <w:b w:val="0"/>
          <w:sz w:val="28"/>
          <w:szCs w:val="28"/>
          <w:highlight w:val="white"/>
        </w:rPr>
        <w:t xml:space="preserve">Оренбургской области за отчетный период </w:t>
      </w:r>
    </w:p>
    <w:p>
      <w:pPr>
        <w:pStyle w:val="25"/>
        <w:ind w:left="1069"/>
        <w:rPr>
          <w:szCs w:val="26"/>
          <w:highlight w:val="white"/>
        </w:rPr>
      </w:pPr>
    </w:p>
    <w:p>
      <w:pPr>
        <w:ind w:firstLine="720"/>
        <w:jc w:val="both"/>
        <w:rPr>
          <w:rFonts w:eastAsia="Calibri"/>
          <w:sz w:val="28"/>
          <w:szCs w:val="28"/>
          <w:highlight w:val="white"/>
        </w:rPr>
      </w:pPr>
      <w:r>
        <w:rPr>
          <w:rFonts w:eastAsia="Calibri"/>
          <w:sz w:val="28"/>
          <w:szCs w:val="28"/>
          <w:highlight w:val="white"/>
          <w:lang w:eastAsia="en-US"/>
        </w:rPr>
        <w:t xml:space="preserve">По данным Территориального органа Федеральной службы государственной статистики по Оренбургской области (далее – </w:t>
      </w:r>
      <w:r>
        <w:rPr>
          <w:rFonts w:eastAsia="Calibri"/>
          <w:sz w:val="28"/>
          <w:szCs w:val="28"/>
          <w:highlight w:val="white"/>
          <w:lang w:eastAsia="en-US"/>
        </w:rPr>
        <w:t xml:space="preserve">Оренбургстат</w:t>
      </w:r>
      <w:r>
        <w:rPr>
          <w:rFonts w:eastAsia="Calibri"/>
          <w:sz w:val="28"/>
          <w:szCs w:val="28"/>
          <w:highlight w:val="white"/>
          <w:lang w:eastAsia="en-US"/>
        </w:rPr>
        <w:t xml:space="preserve">), численность населения Оренбургской области на 1 января 2025 года составила 1828,7 тыс. человек, что на 12,7 тыс. человек меньше численности на 1 января 2024 года. </w:t>
      </w:r>
    </w:p>
    <w:p>
      <w:pPr>
        <w:ind w:firstLine="720"/>
        <w:jc w:val="both"/>
        <w:rPr>
          <w:rFonts w:eastAsia="Calibri"/>
          <w:sz w:val="28"/>
          <w:szCs w:val="28"/>
          <w:highlight w:val="white"/>
        </w:rPr>
      </w:pPr>
      <w:r>
        <w:rPr>
          <w:rFonts w:eastAsia="Calibri"/>
          <w:sz w:val="28"/>
          <w:szCs w:val="28"/>
          <w:highlight w:val="white"/>
          <w:lang w:eastAsia="en-US"/>
        </w:rPr>
        <w:t xml:space="preserve">В Оренбургской области 1091,7 тыс. человек (60,1 процента) – городские жители и 725,2 тыс. человек (39,1 процента) – сельские жители. </w:t>
      </w:r>
    </w:p>
    <w:p>
      <w:pPr>
        <w:ind w:firstLine="720"/>
        <w:jc w:val="both"/>
        <w:rPr>
          <w:sz w:val="28"/>
          <w:szCs w:val="28"/>
          <w:highlight w:val="white"/>
        </w:rPr>
      </w:pPr>
      <w:r>
        <w:rPr>
          <w:sz w:val="28"/>
          <w:szCs w:val="28"/>
          <w:highlight w:val="white"/>
        </w:rPr>
        <w:t xml:space="preserve">Численность населения трудоспособного возраста на 1 января 2025 года составила 56,5 процента от общей численности населения.</w:t>
      </w:r>
    </w:p>
    <w:p>
      <w:pPr>
        <w:ind w:firstLine="709"/>
        <w:jc w:val="both"/>
        <w:rPr>
          <w:sz w:val="28"/>
          <w:szCs w:val="28"/>
          <w:highlight w:val="white"/>
        </w:rPr>
      </w:pPr>
      <w:r>
        <w:rPr>
          <w:sz w:val="28"/>
          <w:szCs w:val="28"/>
          <w:highlight w:val="white"/>
        </w:rPr>
        <w:t xml:space="preserve">Экономический рост в </w:t>
      </w:r>
      <w:r>
        <w:rPr>
          <w:rFonts w:eastAsia="Calibri"/>
          <w:sz w:val="28"/>
          <w:szCs w:val="28"/>
          <w:highlight w:val="white"/>
          <w:lang w:eastAsia="en-US"/>
        </w:rPr>
        <w:t xml:space="preserve">Оренбургской области </w:t>
      </w:r>
      <w:r>
        <w:rPr>
          <w:sz w:val="28"/>
          <w:szCs w:val="28"/>
          <w:highlight w:val="white"/>
        </w:rPr>
        <w:t xml:space="preserve">за 2023 год, по данным </w:t>
      </w:r>
      <w:r>
        <w:rPr>
          <w:rFonts w:eastAsia="Calibri"/>
          <w:sz w:val="28"/>
          <w:szCs w:val="28"/>
          <w:highlight w:val="white"/>
          <w:lang w:eastAsia="en-US"/>
        </w:rPr>
        <w:t xml:space="preserve">Оренбургстата</w:t>
      </w:r>
      <w:r>
        <w:rPr>
          <w:sz w:val="28"/>
          <w:szCs w:val="28"/>
          <w:highlight w:val="white"/>
        </w:rPr>
        <w:t xml:space="preserve">, составил 106,2 процента к уровню 2022 года.</w:t>
      </w:r>
    </w:p>
    <w:p>
      <w:pPr>
        <w:ind w:firstLine="567"/>
        <w:jc w:val="both"/>
        <w:rPr>
          <w:rFonts w:eastAsia="Calibri"/>
          <w:bCs/>
          <w:sz w:val="28"/>
          <w:szCs w:val="28"/>
          <w:lang w:eastAsia="en-US"/>
        </w:rPr>
      </w:pPr>
      <w:r>
        <w:rPr>
          <w:rFonts w:eastAsia="Calibri"/>
          <w:bCs/>
          <w:sz w:val="28"/>
          <w:szCs w:val="28"/>
          <w:lang w:eastAsia="en-US"/>
        </w:rPr>
        <w:t xml:space="preserve">Валовой региональный продукт (далее – ВРП) на душу населения составил 961</w:t>
      </w:r>
      <w:r>
        <w:rPr>
          <w:color w:val="000000" w:themeColor="text1"/>
          <w:sz w:val="28"/>
          <w:szCs w:val="28"/>
        </w:rPr>
        <w:t xml:space="preserve"> </w:t>
      </w:r>
      <w:r>
        <w:rPr>
          <w:rFonts w:eastAsia="Calibri"/>
          <w:bCs/>
          <w:sz w:val="28"/>
          <w:szCs w:val="28"/>
          <w:lang w:eastAsia="en-US"/>
        </w:rPr>
        <w:t xml:space="preserve">тыс. рублей (в 2022 году – 850 тыс. рублей). По данному показателю среди субъектов Российской Федерации Оренбургская область занимает                       2</w:t>
      </w:r>
      <w:r>
        <w:rPr>
          <w:rFonts w:eastAsia="Calibri"/>
          <w:bCs/>
          <w:sz w:val="28"/>
          <w:szCs w:val="28"/>
          <w:lang w:eastAsia="en-US"/>
        </w:rPr>
        <w:t xml:space="preserve">3</w:t>
      </w:r>
      <w:r>
        <w:rPr>
          <w:rFonts w:eastAsia="Calibri"/>
          <w:bCs/>
          <w:sz w:val="28"/>
          <w:szCs w:val="28"/>
          <w:lang w:eastAsia="en-US"/>
        </w:rPr>
        <w:t xml:space="preserve"> место, среди субъектов Приволжского федерального округа                            </w:t>
      </w:r>
      <w:r>
        <w:rPr>
          <w:rFonts w:eastAsia="Calibri"/>
          <w:bCs/>
          <w:sz w:val="28"/>
          <w:szCs w:val="28"/>
          <w:lang w:eastAsia="en-US"/>
        </w:rPr>
        <w:t xml:space="preserve">   (</w:t>
      </w:r>
      <w:r>
        <w:rPr>
          <w:rFonts w:eastAsia="Calibri"/>
          <w:bCs/>
          <w:sz w:val="28"/>
          <w:szCs w:val="28"/>
          <w:lang w:eastAsia="en-US"/>
        </w:rPr>
        <w:t xml:space="preserve">далее – ПФО) – 2 место.</w:t>
      </w:r>
    </w:p>
    <w:p>
      <w:pPr>
        <w:ind w:firstLine="709"/>
        <w:jc w:val="both"/>
        <w:rPr>
          <w:color w:val="000000" w:themeColor="text1"/>
          <w:sz w:val="28"/>
          <w:szCs w:val="28"/>
        </w:rPr>
      </w:pPr>
      <w:r>
        <w:rPr>
          <w:color w:val="000000" w:themeColor="text1"/>
          <w:sz w:val="28"/>
          <w:szCs w:val="28"/>
        </w:rPr>
        <w:t xml:space="preserve">На основе итоговых показателей, характеризующих состояние базовых отраслей экономики Оренбургской области, в 2024 году ВРП оценивается на уровн</w:t>
      </w:r>
      <w:r>
        <w:rPr>
          <w:color w:val="000000" w:themeColor="text1"/>
          <w:sz w:val="28"/>
          <w:szCs w:val="28"/>
          <w:highlight w:val="white"/>
        </w:rPr>
        <w:t xml:space="preserve">е 1 997,24 млрд. </w:t>
      </w:r>
      <w:r>
        <w:rPr>
          <w:color w:val="000000" w:themeColor="text1"/>
          <w:sz w:val="28"/>
          <w:szCs w:val="28"/>
        </w:rPr>
        <w:t xml:space="preserve">рублей, или 103,</w:t>
      </w:r>
      <w:r>
        <w:rPr>
          <w:color w:val="000000" w:themeColor="text1"/>
          <w:sz w:val="28"/>
          <w:szCs w:val="28"/>
        </w:rPr>
        <w:t xml:space="preserve">6  процента</w:t>
      </w:r>
      <w:r>
        <w:rPr>
          <w:color w:val="000000" w:themeColor="text1"/>
          <w:sz w:val="28"/>
          <w:szCs w:val="28"/>
        </w:rPr>
        <w:t xml:space="preserve"> в сопоставимых ценах к уровню предыдущего года.  </w:t>
      </w:r>
    </w:p>
    <w:p>
      <w:pPr>
        <w:ind w:firstLine="709"/>
        <w:jc w:val="both"/>
        <w:rPr>
          <w:sz w:val="28"/>
          <w:szCs w:val="28"/>
          <w:highlight w:val="white"/>
        </w:rPr>
      </w:pPr>
      <w:r>
        <w:rPr>
          <w:iCs/>
          <w:sz w:val="28"/>
          <w:szCs w:val="28"/>
        </w:rPr>
        <w:t xml:space="preserve">Динамика </w:t>
      </w:r>
      <w:r>
        <w:rPr>
          <w:iCs/>
          <w:sz w:val="28"/>
          <w:szCs w:val="28"/>
          <w:highlight w:val="white"/>
        </w:rPr>
        <w:t xml:space="preserve">основных показателей социально-экономического развития Оренбургской области </w:t>
      </w:r>
      <w:r>
        <w:rPr>
          <w:iCs/>
          <w:sz w:val="28"/>
          <w:szCs w:val="28"/>
        </w:rPr>
        <w:t xml:space="preserve">з</w:t>
      </w:r>
      <w:r>
        <w:rPr>
          <w:sz w:val="28"/>
          <w:szCs w:val="28"/>
          <w:highlight w:val="white"/>
        </w:rPr>
        <w:t xml:space="preserve">а 2024 год </w:t>
      </w:r>
      <w:r>
        <w:rPr>
          <w:iCs/>
          <w:sz w:val="28"/>
          <w:szCs w:val="28"/>
          <w:highlight w:val="white"/>
        </w:rPr>
        <w:t xml:space="preserve">по сравнению с 2023 годом следующая: </w:t>
      </w:r>
    </w:p>
    <w:p>
      <w:pPr>
        <w:ind w:firstLine="709"/>
        <w:jc w:val="both"/>
        <w:rPr>
          <w:iCs/>
          <w:sz w:val="28"/>
          <w:szCs w:val="28"/>
          <w:highlight w:val="white"/>
        </w:rPr>
      </w:pPr>
      <w:r>
        <w:rPr>
          <w:iCs/>
          <w:sz w:val="28"/>
          <w:szCs w:val="28"/>
          <w:highlight w:val="white"/>
        </w:rPr>
        <w:t xml:space="preserve">индекс промышленного производства – 97,1 </w:t>
      </w:r>
      <w:r>
        <w:rPr>
          <w:sz w:val="28"/>
          <w:szCs w:val="28"/>
          <w:highlight w:val="white"/>
        </w:rPr>
        <w:t xml:space="preserve">процента</w:t>
      </w:r>
      <w:r>
        <w:rPr>
          <w:iCs/>
          <w:sz w:val="28"/>
          <w:szCs w:val="28"/>
          <w:highlight w:val="white"/>
        </w:rPr>
        <w:t xml:space="preserve">;</w:t>
      </w:r>
    </w:p>
    <w:p>
      <w:pPr>
        <w:ind w:firstLine="709"/>
        <w:jc w:val="both"/>
        <w:rPr>
          <w:iCs/>
          <w:sz w:val="28"/>
          <w:szCs w:val="28"/>
          <w:highlight w:val="white"/>
        </w:rPr>
      </w:pPr>
      <w:r>
        <w:rPr>
          <w:iCs/>
          <w:sz w:val="28"/>
          <w:szCs w:val="28"/>
          <w:highlight w:val="white"/>
        </w:rPr>
        <w:t xml:space="preserve">индекс продукции сельского хозяйства – 108,6 </w:t>
      </w:r>
      <w:r>
        <w:rPr>
          <w:sz w:val="28"/>
          <w:szCs w:val="28"/>
          <w:highlight w:val="white"/>
        </w:rPr>
        <w:t xml:space="preserve">процента</w:t>
      </w:r>
      <w:r>
        <w:rPr>
          <w:iCs/>
          <w:sz w:val="28"/>
          <w:szCs w:val="28"/>
          <w:highlight w:val="white"/>
        </w:rPr>
        <w:t xml:space="preserve">;</w:t>
      </w:r>
    </w:p>
    <w:p>
      <w:pPr>
        <w:ind w:firstLine="709"/>
        <w:jc w:val="both"/>
        <w:rPr>
          <w:iCs/>
          <w:sz w:val="28"/>
          <w:szCs w:val="28"/>
          <w:highlight w:val="white"/>
        </w:rPr>
      </w:pPr>
      <w:r>
        <w:rPr>
          <w:iCs/>
          <w:sz w:val="28"/>
          <w:szCs w:val="28"/>
          <w:highlight w:val="white"/>
        </w:rPr>
        <w:t xml:space="preserve">объем работ, выполненных по виду экономической деятельности «строительство», – 110,2 </w:t>
      </w:r>
      <w:r>
        <w:rPr>
          <w:sz w:val="28"/>
          <w:szCs w:val="28"/>
          <w:highlight w:val="white"/>
        </w:rPr>
        <w:t xml:space="preserve">процента</w:t>
      </w:r>
      <w:r>
        <w:rPr>
          <w:iCs/>
          <w:sz w:val="28"/>
          <w:szCs w:val="28"/>
          <w:highlight w:val="white"/>
        </w:rPr>
        <w:t xml:space="preserve">;</w:t>
      </w:r>
    </w:p>
    <w:p>
      <w:pPr>
        <w:ind w:firstLine="709"/>
        <w:jc w:val="both"/>
        <w:rPr>
          <w:iCs/>
          <w:sz w:val="28"/>
          <w:szCs w:val="28"/>
          <w:highlight w:val="white"/>
        </w:rPr>
      </w:pPr>
      <w:r>
        <w:rPr>
          <w:iCs/>
          <w:sz w:val="28"/>
          <w:szCs w:val="28"/>
          <w:highlight w:val="white"/>
        </w:rPr>
        <w:t xml:space="preserve">ввод в действие жилых домов – 105,3 </w:t>
      </w:r>
      <w:r>
        <w:rPr>
          <w:sz w:val="28"/>
          <w:szCs w:val="28"/>
          <w:highlight w:val="white"/>
        </w:rPr>
        <w:t xml:space="preserve">процента</w:t>
      </w:r>
      <w:r>
        <w:rPr>
          <w:iCs/>
          <w:sz w:val="28"/>
          <w:szCs w:val="28"/>
          <w:highlight w:val="white"/>
        </w:rPr>
        <w:t xml:space="preserve">;</w:t>
      </w:r>
    </w:p>
    <w:p>
      <w:pPr>
        <w:ind w:firstLine="709"/>
        <w:jc w:val="both"/>
        <w:rPr>
          <w:iCs/>
          <w:sz w:val="28"/>
          <w:szCs w:val="28"/>
          <w:highlight w:val="white"/>
        </w:rPr>
      </w:pPr>
      <w:r>
        <w:rPr>
          <w:iCs/>
          <w:sz w:val="28"/>
          <w:szCs w:val="28"/>
          <w:highlight w:val="white"/>
        </w:rPr>
        <w:t xml:space="preserve">индекс оборота розничной торговли – 106,9 </w:t>
      </w:r>
      <w:r>
        <w:rPr>
          <w:sz w:val="28"/>
          <w:szCs w:val="28"/>
          <w:highlight w:val="white"/>
        </w:rPr>
        <w:t xml:space="preserve">процента</w:t>
      </w:r>
      <w:r>
        <w:rPr>
          <w:iCs/>
          <w:sz w:val="28"/>
          <w:szCs w:val="28"/>
          <w:highlight w:val="white"/>
        </w:rPr>
        <w:t xml:space="preserve">;</w:t>
      </w:r>
    </w:p>
    <w:p>
      <w:pPr>
        <w:ind w:firstLine="709"/>
        <w:jc w:val="both"/>
        <w:rPr>
          <w:iCs/>
          <w:sz w:val="28"/>
          <w:szCs w:val="28"/>
          <w:highlight w:val="white"/>
        </w:rPr>
      </w:pPr>
      <w:r>
        <w:rPr>
          <w:iCs/>
          <w:sz w:val="28"/>
          <w:szCs w:val="28"/>
          <w:highlight w:val="white"/>
        </w:rPr>
        <w:t xml:space="preserve">индекс объема платных услуг населению – 103,6 </w:t>
      </w:r>
      <w:r>
        <w:rPr>
          <w:sz w:val="28"/>
          <w:szCs w:val="28"/>
          <w:highlight w:val="white"/>
        </w:rPr>
        <w:t xml:space="preserve">процента</w:t>
      </w:r>
      <w:r>
        <w:rPr>
          <w:iCs/>
          <w:sz w:val="28"/>
          <w:szCs w:val="28"/>
          <w:highlight w:val="white"/>
        </w:rPr>
        <w:t xml:space="preserve">.</w:t>
      </w:r>
    </w:p>
    <w:p>
      <w:pPr>
        <w:ind w:firstLine="709"/>
        <w:jc w:val="both"/>
        <w:rPr>
          <w:sz w:val="28"/>
          <w:szCs w:val="28"/>
          <w:highlight w:val="white"/>
        </w:rPr>
      </w:pPr>
      <w:r>
        <w:rPr>
          <w:sz w:val="28"/>
          <w:szCs w:val="28"/>
          <w:highlight w:val="white"/>
        </w:rPr>
        <w:t xml:space="preserve">На развитие экономики и социальной сферы в 2024 году были направлены инвестиции в объеме 345 632,5 млн. рублей, что составило 108,0 процентов к уровню 2023 года. </w:t>
      </w:r>
    </w:p>
    <w:p>
      <w:pPr>
        <w:ind w:right="-2" w:firstLine="709"/>
        <w:jc w:val="both"/>
        <w:rPr>
          <w:sz w:val="28"/>
          <w:szCs w:val="28"/>
          <w:highlight w:val="white"/>
        </w:rPr>
      </w:pPr>
      <w:r>
        <w:rPr>
          <w:sz w:val="28"/>
          <w:szCs w:val="28"/>
          <w:highlight w:val="white"/>
        </w:rPr>
        <w:t xml:space="preserve">Среднемесячная номинальная начисленная заработная плата работников организаций в 2024 году составила 64 058,7 рубля, или 120,6 процента к уровню 2023 года. </w:t>
      </w:r>
    </w:p>
    <w:p>
      <w:pPr>
        <w:ind w:right="-2" w:firstLine="709"/>
        <w:jc w:val="both"/>
        <w:rPr>
          <w:sz w:val="28"/>
          <w:szCs w:val="28"/>
          <w:highlight w:val="white"/>
        </w:rPr>
      </w:pPr>
      <w:r>
        <w:rPr>
          <w:sz w:val="28"/>
          <w:szCs w:val="28"/>
          <w:highlight w:val="white"/>
        </w:rPr>
        <w:t xml:space="preserve">В 2024 году ввод в действие жилых домов составил 105,3 процента по сравнению с 2023 годом. П</w:t>
      </w:r>
      <w:r>
        <w:rPr>
          <w:sz w:val="28"/>
          <w:szCs w:val="28"/>
          <w:highlight w:val="white"/>
          <w:lang w:eastAsia="en-US"/>
        </w:rPr>
        <w:t xml:space="preserve">о данному показателю среди субъектов Российской Федерации Оренбургская область занимает </w:t>
      </w:r>
      <w:r>
        <w:rPr>
          <w:sz w:val="28"/>
          <w:szCs w:val="28"/>
          <w:highlight w:val="white"/>
        </w:rPr>
        <w:t xml:space="preserve">26 место, </w:t>
      </w:r>
      <w:r>
        <w:rPr>
          <w:sz w:val="28"/>
          <w:szCs w:val="28"/>
          <w:highlight w:val="white"/>
          <w:lang w:eastAsia="en-US"/>
        </w:rPr>
        <w:t xml:space="preserve">среди субъектов ПФО – 7 место.</w:t>
      </w:r>
    </w:p>
    <w:p>
      <w:pPr>
        <w:ind w:firstLine="708"/>
        <w:jc w:val="both"/>
        <w:rPr>
          <w:color w:val="ff0000"/>
          <w:sz w:val="28"/>
          <w:szCs w:val="28"/>
        </w:rPr>
      </w:pPr>
      <w:r>
        <w:rPr>
          <w:sz w:val="28"/>
          <w:szCs w:val="28"/>
        </w:rPr>
        <w:t xml:space="preserve">По итогам 2024 года, на основании данных </w:t>
      </w:r>
      <w:r>
        <w:rPr>
          <w:sz w:val="28"/>
          <w:szCs w:val="28"/>
        </w:rPr>
        <w:t xml:space="preserve">Оренбургстата</w:t>
      </w:r>
      <w:r>
        <w:rPr>
          <w:sz w:val="28"/>
          <w:szCs w:val="28"/>
        </w:rPr>
        <w:t xml:space="preserve">, Оренбургская область занимает по валовому сбору зерновых и зернобобовых культур </w:t>
      </w:r>
      <w:r>
        <w:rPr>
          <w:sz w:val="28"/>
          <w:szCs w:val="28"/>
        </w:rPr>
        <w:br/>
        <w:t xml:space="preserve">9 место</w:t>
      </w:r>
      <w:r>
        <w:rPr>
          <w:rFonts w:eastAsia="Calibri"/>
          <w:bCs/>
          <w:sz w:val="28"/>
          <w:szCs w:val="28"/>
          <w:lang w:eastAsia="en-US"/>
        </w:rPr>
        <w:t xml:space="preserve"> среди субъектов Российской Федерации и 2</w:t>
      </w:r>
      <w:r>
        <w:rPr>
          <w:sz w:val="28"/>
          <w:szCs w:val="28"/>
        </w:rPr>
        <w:t xml:space="preserve"> место </w:t>
      </w:r>
      <w:r>
        <w:rPr>
          <w:rFonts w:eastAsia="Calibri"/>
          <w:bCs/>
          <w:sz w:val="28"/>
          <w:szCs w:val="28"/>
          <w:lang w:eastAsia="en-US"/>
        </w:rPr>
        <w:t xml:space="preserve">среди субъектов ПФО</w:t>
      </w:r>
      <w:r>
        <w:rPr>
          <w:sz w:val="28"/>
          <w:szCs w:val="28"/>
        </w:rPr>
        <w:t xml:space="preserve">;</w:t>
      </w:r>
      <w:r>
        <w:rPr>
          <w:color w:val="ff0000"/>
          <w:sz w:val="28"/>
          <w:szCs w:val="28"/>
        </w:rPr>
        <w:t xml:space="preserve"> </w:t>
      </w:r>
      <w:r>
        <w:rPr>
          <w:sz w:val="28"/>
          <w:szCs w:val="28"/>
        </w:rPr>
        <w:t xml:space="preserve">по производству молока – 19 место и 7 место;</w:t>
      </w:r>
      <w:r>
        <w:rPr>
          <w:color w:val="ff0000"/>
          <w:sz w:val="28"/>
          <w:szCs w:val="28"/>
        </w:rPr>
        <w:t xml:space="preserve"> </w:t>
      </w:r>
      <w:r>
        <w:rPr>
          <w:sz w:val="28"/>
          <w:szCs w:val="28"/>
        </w:rPr>
        <w:t xml:space="preserve">по производству скота и птицы на убой в живом весе – 31 место и 7 место соответственно.</w:t>
      </w:r>
      <w:r>
        <w:rPr>
          <w:color w:val="ff0000"/>
          <w:sz w:val="28"/>
          <w:szCs w:val="28"/>
        </w:rPr>
        <w:t xml:space="preserve"> </w:t>
      </w:r>
      <w:r>
        <w:rPr>
          <w:sz w:val="28"/>
          <w:szCs w:val="28"/>
        </w:rPr>
        <w:t xml:space="preserve">По индексу промышленного производства Оренбургская область занимает по добыче полезных ископаемых 36 место </w:t>
      </w:r>
      <w:r>
        <w:rPr>
          <w:rFonts w:eastAsia="Calibri"/>
          <w:bCs/>
          <w:sz w:val="28"/>
          <w:szCs w:val="28"/>
          <w:lang w:eastAsia="en-US"/>
        </w:rPr>
        <w:t xml:space="preserve">среди субъектов Российской Федерации и</w:t>
      </w:r>
      <w:r>
        <w:rPr>
          <w:rFonts w:eastAsia="Calibri"/>
          <w:bCs/>
          <w:color w:val="ff0000"/>
          <w:sz w:val="28"/>
          <w:szCs w:val="28"/>
          <w:lang w:eastAsia="en-US"/>
        </w:rPr>
        <w:t xml:space="preserve">                  </w:t>
      </w:r>
      <w:r>
        <w:rPr>
          <w:rFonts w:eastAsia="Calibri"/>
          <w:bCs/>
          <w:sz w:val="28"/>
          <w:szCs w:val="28"/>
          <w:lang w:eastAsia="en-US"/>
        </w:rPr>
        <w:t xml:space="preserve">11</w:t>
      </w:r>
      <w:r>
        <w:rPr>
          <w:sz w:val="28"/>
          <w:szCs w:val="28"/>
        </w:rPr>
        <w:t xml:space="preserve"> место </w:t>
      </w:r>
      <w:r>
        <w:rPr>
          <w:rFonts w:eastAsia="Calibri"/>
          <w:bCs/>
          <w:sz w:val="28"/>
          <w:szCs w:val="28"/>
          <w:lang w:eastAsia="en-US"/>
        </w:rPr>
        <w:t xml:space="preserve">среди субъектов ПФО;</w:t>
      </w:r>
      <w:r>
        <w:rPr>
          <w:rFonts w:eastAsia="Calibri"/>
          <w:bCs/>
          <w:color w:val="ff0000"/>
          <w:sz w:val="28"/>
          <w:szCs w:val="28"/>
          <w:lang w:eastAsia="en-US"/>
        </w:rPr>
        <w:t xml:space="preserve"> </w:t>
      </w:r>
      <w:r>
        <w:rPr>
          <w:rFonts w:eastAsia="Calibri"/>
          <w:bCs/>
          <w:sz w:val="28"/>
          <w:szCs w:val="28"/>
          <w:lang w:eastAsia="en-US"/>
        </w:rPr>
        <w:t xml:space="preserve">в обрабатывающих производствах – 37 место и 11 место; по общему </w:t>
      </w:r>
      <w:r>
        <w:rPr>
          <w:sz w:val="28"/>
          <w:szCs w:val="28"/>
        </w:rPr>
        <w:t xml:space="preserve">индексу промышленного производства – 80 место и                     14 место соответственно.</w:t>
      </w:r>
    </w:p>
    <w:p>
      <w:pPr>
        <w:ind w:firstLine="708"/>
        <w:jc w:val="both"/>
        <w:rPr>
          <w:color w:val="000000" w:themeColor="text1"/>
          <w:sz w:val="28"/>
          <w:szCs w:val="28"/>
        </w:rPr>
      </w:pPr>
      <w:r>
        <w:rPr>
          <w:sz w:val="28"/>
          <w:szCs w:val="28"/>
        </w:rPr>
        <w:t xml:space="preserve">Численность населения с денежными доходами ниже границы бедности по отношению к общей численности населения за 2024 год составила 9,2 процента</w:t>
      </w:r>
      <w:r>
        <w:rPr>
          <w:color w:val="000000" w:themeColor="text1"/>
          <w:sz w:val="28"/>
          <w:szCs w:val="28"/>
        </w:rPr>
        <w:t xml:space="preserve">. По данному показателю Оренбургская область занимает 34 место </w:t>
      </w:r>
      <w:r>
        <w:rPr>
          <w:rFonts w:eastAsia="Calibri"/>
          <w:bCs/>
          <w:color w:val="000000" w:themeColor="text1"/>
          <w:sz w:val="28"/>
          <w:szCs w:val="28"/>
          <w:lang w:eastAsia="en-US"/>
        </w:rPr>
        <w:t xml:space="preserve">среди субъектов Российской Федерации и 9</w:t>
      </w:r>
      <w:r>
        <w:rPr>
          <w:color w:val="000000" w:themeColor="text1"/>
          <w:sz w:val="28"/>
          <w:szCs w:val="28"/>
        </w:rPr>
        <w:t xml:space="preserve"> место </w:t>
      </w:r>
      <w:r>
        <w:rPr>
          <w:rFonts w:eastAsia="Calibri"/>
          <w:bCs/>
          <w:color w:val="000000" w:themeColor="text1"/>
          <w:sz w:val="28"/>
          <w:szCs w:val="28"/>
          <w:lang w:eastAsia="en-US"/>
        </w:rPr>
        <w:t xml:space="preserve">среди субъектов ПФО.</w:t>
      </w:r>
    </w:p>
    <w:p>
      <w:pPr>
        <w:shd w:val="clear" w:color="auto" w:fill="ffffff"/>
        <w:ind w:firstLine="708"/>
        <w:jc w:val="both"/>
        <w:outlineLvl w:val="0"/>
        <w:rPr>
          <w:sz w:val="28"/>
          <w:szCs w:val="28"/>
          <w:highlight w:val="white"/>
        </w:rPr>
      </w:pPr>
      <w:r>
        <w:rPr>
          <w:sz w:val="28"/>
          <w:szCs w:val="28"/>
          <w:highlight w:val="white"/>
        </w:rPr>
        <w:t xml:space="preserve">Несмотря на </w:t>
      </w:r>
      <w:r>
        <w:rPr>
          <w:color w:val="000000"/>
          <w:sz w:val="28"/>
          <w:szCs w:val="28"/>
          <w:highlight w:val="white"/>
        </w:rPr>
        <w:t xml:space="preserve">изменившиеся внешние условия, связанные с международными санкциями (ограничениями)</w:t>
      </w:r>
      <w:r>
        <w:rPr>
          <w:sz w:val="28"/>
          <w:szCs w:val="28"/>
          <w:highlight w:val="white"/>
        </w:rPr>
        <w:t xml:space="preserve">, экономическая ситуация в регионе оценивается как достаточно устойчивая. Это подтверждает ряд факторов:</w:t>
      </w:r>
    </w:p>
    <w:p>
      <w:pPr>
        <w:shd w:val="clear" w:color="auto" w:fill="ffffff"/>
        <w:ind w:firstLine="708"/>
        <w:jc w:val="both"/>
        <w:outlineLvl w:val="0"/>
        <w:rPr>
          <w:sz w:val="28"/>
          <w:szCs w:val="28"/>
          <w:highlight w:val="white"/>
        </w:rPr>
      </w:pPr>
      <w:r>
        <w:rPr>
          <w:sz w:val="28"/>
          <w:szCs w:val="28"/>
          <w:highlight w:val="white"/>
        </w:rPr>
        <w:t xml:space="preserve">интенсивный рост объема инвестиций, направленных на развитие экономики и социальной сферы в Оренбургской области (в январе – июне                        2025 года на развитие экономики и социальной сферы были направлены инвестиции в объеме 142 534,7 млн. рублей, что составило 104,7 процента к соответствующему периоду 2024 года; по объему инвестиций Оренбургская область занимает 28 место среди </w:t>
      </w:r>
      <w:r>
        <w:rPr>
          <w:rFonts w:eastAsia="Calibri"/>
          <w:bCs/>
          <w:sz w:val="28"/>
          <w:szCs w:val="28"/>
          <w:highlight w:val="white"/>
          <w:lang w:eastAsia="en-US"/>
        </w:rPr>
        <w:t xml:space="preserve">субъектов Российской Федерации</w:t>
      </w:r>
      <w:r>
        <w:rPr>
          <w:sz w:val="28"/>
          <w:szCs w:val="28"/>
          <w:highlight w:val="white"/>
        </w:rPr>
        <w:t xml:space="preserve"> и 6 место среди субъектов ПФО);</w:t>
      </w:r>
    </w:p>
    <w:p>
      <w:pPr>
        <w:shd w:val="clear" w:color="auto" w:fill="ffffff"/>
        <w:ind w:firstLine="708"/>
        <w:jc w:val="both"/>
        <w:outlineLvl w:val="0"/>
        <w:rPr>
          <w:color w:val="000000" w:themeColor="text1"/>
          <w:sz w:val="28"/>
          <w:szCs w:val="28"/>
          <w:highlight w:val="white"/>
        </w:rPr>
      </w:pPr>
      <w:r>
        <w:rPr>
          <w:color w:val="000000" w:themeColor="text1"/>
          <w:sz w:val="28"/>
          <w:szCs w:val="28"/>
          <w:highlight w:val="white"/>
        </w:rPr>
        <w:t xml:space="preserve">положительная динамика социально-экономических показателей за январь – август 2025 года: </w:t>
      </w:r>
    </w:p>
    <w:p>
      <w:pPr>
        <w:shd w:val="clear" w:color="auto" w:fill="ffffff"/>
        <w:ind w:firstLine="708"/>
        <w:jc w:val="both"/>
        <w:outlineLvl w:val="0"/>
        <w:rPr>
          <w:color w:val="000000" w:themeColor="text1"/>
          <w:sz w:val="28"/>
          <w:szCs w:val="28"/>
          <w:highlight w:val="white"/>
        </w:rPr>
      </w:pPr>
      <w:r>
        <w:rPr>
          <w:color w:val="000000" w:themeColor="text1"/>
          <w:sz w:val="28"/>
          <w:szCs w:val="28"/>
          <w:highlight w:val="white"/>
        </w:rPr>
        <w:t xml:space="preserve">объем работ, выполненных по виду экономической деятельности «Строительство», – 125,9 процента;</w:t>
      </w:r>
    </w:p>
    <w:p>
      <w:pPr>
        <w:shd w:val="clear" w:color="auto" w:fill="ffffff"/>
        <w:ind w:firstLine="708"/>
        <w:jc w:val="both"/>
        <w:outlineLvl w:val="0"/>
        <w:rPr>
          <w:color w:val="000000" w:themeColor="text1"/>
          <w:sz w:val="28"/>
          <w:szCs w:val="28"/>
          <w:highlight w:val="white"/>
        </w:rPr>
      </w:pPr>
      <w:r>
        <w:rPr>
          <w:color w:val="000000" w:themeColor="text1"/>
          <w:sz w:val="28"/>
          <w:szCs w:val="28"/>
          <w:highlight w:val="white"/>
        </w:rPr>
        <w:t xml:space="preserve">индекс оборота розничной торговли – 105,1 процента;</w:t>
      </w:r>
    </w:p>
    <w:p>
      <w:pPr>
        <w:ind w:firstLine="709"/>
        <w:jc w:val="both"/>
        <w:rPr>
          <w:iCs/>
          <w:color w:val="000000" w:themeColor="text1"/>
          <w:sz w:val="28"/>
          <w:szCs w:val="28"/>
          <w:highlight w:val="white"/>
        </w:rPr>
      </w:pPr>
      <w:r>
        <w:rPr>
          <w:iCs/>
          <w:color w:val="000000" w:themeColor="text1"/>
          <w:sz w:val="28"/>
          <w:szCs w:val="28"/>
          <w:highlight w:val="white"/>
        </w:rPr>
        <w:t xml:space="preserve">индекс объема платных услуг населению – 105,0 процента;</w:t>
      </w:r>
    </w:p>
    <w:p>
      <w:pPr>
        <w:shd w:val="clear" w:color="auto" w:fill="ffffff"/>
        <w:ind w:firstLine="708"/>
        <w:jc w:val="both"/>
        <w:outlineLvl w:val="0"/>
        <w:rPr>
          <w:color w:val="ff0000"/>
          <w:sz w:val="28"/>
          <w:szCs w:val="28"/>
          <w:highlight w:val="white"/>
        </w:rPr>
      </w:pPr>
      <w:r>
        <w:rPr>
          <w:iCs/>
          <w:color w:val="000000" w:themeColor="text1"/>
          <w:sz w:val="28"/>
          <w:szCs w:val="28"/>
          <w:highlight w:val="white"/>
        </w:rPr>
        <w:t xml:space="preserve">темп </w:t>
      </w:r>
      <w:r>
        <w:rPr>
          <w:color w:val="000000" w:themeColor="text1"/>
          <w:sz w:val="28"/>
          <w:szCs w:val="28"/>
          <w:highlight w:val="white"/>
        </w:rPr>
        <w:t xml:space="preserve">роста среднемесячной номинальной начисленной заработной платы работников </w:t>
      </w:r>
      <w:r>
        <w:rPr>
          <w:color w:val="000000" w:themeColor="text1"/>
          <w:sz w:val="28"/>
          <w:szCs w:val="28"/>
          <w:highlight w:val="white"/>
        </w:rPr>
        <w:t xml:space="preserve">организаций  (</w:t>
      </w:r>
      <w:r>
        <w:rPr>
          <w:color w:val="000000" w:themeColor="text1"/>
          <w:sz w:val="28"/>
          <w:szCs w:val="28"/>
          <w:highlight w:val="white"/>
        </w:rPr>
        <w:t xml:space="preserve">январь – июль 2025 года) – 118,4 про</w:t>
      </w:r>
      <w:r>
        <w:rPr>
          <w:iCs/>
          <w:color w:val="000000" w:themeColor="text1"/>
          <w:sz w:val="28"/>
          <w:szCs w:val="28"/>
          <w:highlight w:val="white"/>
        </w:rPr>
        <w:t xml:space="preserve">цента.</w:t>
      </w:r>
    </w:p>
    <w:p>
      <w:pPr>
        <w:ind w:firstLine="708"/>
        <w:jc w:val="both"/>
        <w:rPr>
          <w:color w:val="000000" w:themeColor="text1"/>
          <w:sz w:val="28"/>
          <w:szCs w:val="28"/>
        </w:rPr>
      </w:pPr>
      <w:r>
        <w:rPr>
          <w:color w:val="000000" w:themeColor="text1"/>
          <w:sz w:val="28"/>
          <w:szCs w:val="28"/>
          <w:highlight w:val="white"/>
        </w:rPr>
        <w:t xml:space="preserve">По итогам 8 месяцев 2025 года, на основании данных </w:t>
      </w:r>
      <w:r>
        <w:rPr>
          <w:rFonts w:eastAsia="Calibri"/>
          <w:color w:val="000000" w:themeColor="text1"/>
          <w:sz w:val="28"/>
          <w:szCs w:val="28"/>
          <w:highlight w:val="white"/>
          <w:lang w:eastAsia="en-US"/>
        </w:rPr>
        <w:t xml:space="preserve">Оренбургстата</w:t>
      </w:r>
      <w:r>
        <w:rPr>
          <w:rFonts w:eastAsia="Calibri"/>
          <w:color w:val="000000" w:themeColor="text1"/>
          <w:sz w:val="28"/>
          <w:szCs w:val="28"/>
          <w:highlight w:val="white"/>
          <w:lang w:eastAsia="en-US"/>
        </w:rPr>
        <w:t xml:space="preserve">, </w:t>
      </w:r>
      <w:r>
        <w:rPr>
          <w:color w:val="000000" w:themeColor="text1"/>
          <w:sz w:val="28"/>
          <w:szCs w:val="28"/>
          <w:highlight w:val="white"/>
        </w:rPr>
        <w:t xml:space="preserve">среди субъектов Российской Федерации Оренбургская область за</w:t>
      </w:r>
      <w:r>
        <w:rPr>
          <w:color w:val="000000" w:themeColor="text1"/>
          <w:sz w:val="28"/>
          <w:szCs w:val="28"/>
        </w:rPr>
        <w:t xml:space="preserve">нимает            </w:t>
      </w:r>
      <w:r>
        <w:rPr>
          <w:color w:val="ff0000"/>
          <w:sz w:val="28"/>
          <w:szCs w:val="28"/>
        </w:rPr>
        <w:t xml:space="preserve">          </w:t>
      </w:r>
      <w:r>
        <w:rPr>
          <w:color w:val="000000" w:themeColor="text1"/>
          <w:sz w:val="28"/>
          <w:szCs w:val="28"/>
        </w:rPr>
        <w:t xml:space="preserve">7 место в Российской Федерации и 2 место в ПФО по валовому сбору зерновых и зернобобовых культур в хозяйствах всех категорий, 25 место в Российской Федерации и 7 место в ПФО – по вводу жилья; 20 место в Российской Федерации и 6 место в ПФО – по вводу индивидуального жилья. </w:t>
      </w:r>
    </w:p>
    <w:p>
      <w:pPr>
        <w:jc w:val="center"/>
        <w:rPr>
          <w:sz w:val="28"/>
          <w:szCs w:val="28"/>
        </w:rPr>
      </w:pPr>
      <w:r>
        <w:rPr>
          <w:sz w:val="28"/>
          <w:szCs w:val="28"/>
        </w:rPr>
        <w:t xml:space="preserve">Оценка факторов и ограничений социально-экономического роста </w:t>
      </w:r>
    </w:p>
    <w:p>
      <w:pPr>
        <w:jc w:val="center"/>
        <w:rPr>
          <w:sz w:val="28"/>
          <w:szCs w:val="28"/>
        </w:rPr>
      </w:pPr>
      <w:r>
        <w:rPr>
          <w:sz w:val="28"/>
          <w:szCs w:val="28"/>
        </w:rPr>
        <w:t xml:space="preserve">Оренбургской области на среднесрочный период</w:t>
      </w:r>
    </w:p>
    <w:p>
      <w:pPr>
        <w:jc w:val="center"/>
        <w:rPr>
          <w:sz w:val="28"/>
          <w:szCs w:val="28"/>
        </w:rPr>
      </w:pPr>
    </w:p>
    <w:p>
      <w:pPr>
        <w:ind w:firstLine="709"/>
        <w:jc w:val="both"/>
        <w:rPr>
          <w:sz w:val="28"/>
          <w:szCs w:val="28"/>
        </w:rPr>
      </w:pPr>
      <w:r>
        <w:rPr>
          <w:sz w:val="28"/>
          <w:szCs w:val="28"/>
        </w:rPr>
        <w:t xml:space="preserve">На развитие Оренбургской области оказывают влияние как внешние, так и внутренние экономические и социальные факторы.</w:t>
      </w:r>
    </w:p>
    <w:p>
      <w:pPr>
        <w:ind w:firstLine="709"/>
        <w:jc w:val="both"/>
        <w:rPr>
          <w:sz w:val="28"/>
          <w:szCs w:val="28"/>
        </w:rPr>
      </w:pPr>
      <w:r>
        <w:rPr>
          <w:sz w:val="28"/>
          <w:szCs w:val="28"/>
        </w:rPr>
        <w:t xml:space="preserve">К внешним факторам относятся замедление развития мировой экономики, характеризуемое падением глобального ВВП и негативным влиянием на международный спрос товаров и услуг российского производства, ужесточение международных санкций (ограничений), в том числе вторичных санкций для дружественных и нейтральных стран, которые препятствуют сотрудничеству российских компаний и организаций с зарубежными партнерами. Эти факторы вызывают негативные изменения на рынке экспорта, ведут к снижению экспортных цен, уменьшению поступлений иностранной валюты и увеличивают риски финансовых потерь для субъектов хозяйственной деятельности Оренбургской области. Тем не менее меры, принятые Правительством Российской Федерации и Правительством Оренбургской области, адаптировали экономику к новым внешнеэкономическим условиям и сформировали условия для устойчивого ее развития. Положительный вклад в развитие экономики был обеспечен за счет роста показателей в таких отраслях, как обрабатывающие производства и строительство, а также оборота розничной </w:t>
      </w:r>
      <w:r>
        <w:rPr>
          <w:sz w:val="28"/>
          <w:szCs w:val="28"/>
        </w:rPr>
        <w:br/>
      </w:r>
      <w:r>
        <w:rPr>
          <w:sz w:val="28"/>
          <w:szCs w:val="28"/>
        </w:rPr>
        <w:t xml:space="preserve">торговли. Ключевым драйвером развития стали внутренний спрос, прежде всего – потребительский, подкрепленный ростом реальных зарплат и доходов населения, а в среднесрочном периоде – сокращение нормы сбережений, которая сейчас находится на высоком уровне. Однако внешние условия остаются нестабильными.</w:t>
      </w:r>
    </w:p>
    <w:p>
      <w:pPr>
        <w:ind w:firstLine="709"/>
        <w:jc w:val="both"/>
      </w:pPr>
      <w:r>
        <w:rPr>
          <w:sz w:val="28"/>
          <w:szCs w:val="28"/>
        </w:rPr>
        <w:t xml:space="preserve">К внутренним факторам, определяющим социально-экономическое развитие Оренбургской области в среднесрочной перспективе до 2028 года, относятся сохраняющиеся ограничения денежно-кредитной политики Банка России, высокий уровень процентных ставок, ограничение роста инвестиционной активности, дефицит квалифицированных трудовых ресурсов на фоне демографических вызовов, рост издержек. </w:t>
      </w:r>
    </w:p>
    <w:p>
      <w:pPr>
        <w:ind w:firstLine="709"/>
        <w:jc w:val="both"/>
        <w:rPr>
          <w:sz w:val="28"/>
          <w:szCs w:val="28"/>
        </w:rPr>
      </w:pPr>
      <w:r>
        <w:rPr>
          <w:sz w:val="28"/>
          <w:szCs w:val="28"/>
        </w:rPr>
        <w:t xml:space="preserve">В этих условиях стратегическими приоритетами развития области становятся стимулирование инвестиционной активности и повышение производительности труда, развитие гибкой системы подготовки и переподготовки кадров в соответствии с потребностями экономики, а также создание условий для адаптации рынка труда к новым вызовам. Решению этих задач будут способствовать программы поддержки предпринимательства, привлечение инвестиций в инфраструктуру и технологические проекты, а также развитие платформенной экономики, автоматизация и роботизация.  </w:t>
      </w:r>
    </w:p>
    <w:p>
      <w:pPr>
        <w:ind w:firstLine="709"/>
        <w:jc w:val="both"/>
        <w:rPr>
          <w:sz w:val="28"/>
          <w:szCs w:val="28"/>
        </w:rPr>
      </w:pPr>
      <w:r>
        <w:rPr>
          <w:sz w:val="28"/>
          <w:szCs w:val="28"/>
        </w:rPr>
        <w:t xml:space="preserve">Дополнительным важным направлением становится работа над повышением привлекательности региона для молодых специалистов и профессионалов высокого класса путем формирования комфортной городской среды, создания новых рабочих мест и возможностей для карьерного роста. </w:t>
      </w:r>
    </w:p>
    <w:p>
      <w:pPr>
        <w:ind w:firstLine="709"/>
        <w:jc w:val="both"/>
        <w:rPr>
          <w:sz w:val="28"/>
          <w:szCs w:val="28"/>
        </w:rPr>
      </w:pPr>
      <w:r>
        <w:rPr>
          <w:sz w:val="28"/>
          <w:szCs w:val="28"/>
        </w:rPr>
        <w:t xml:space="preserve">Прогнозируемая замедляющаяся инфляция открывает пространство для смягчения денежно-кредитной политики, что станет дополнительным стимулом для экономического роста. </w:t>
      </w:r>
    </w:p>
    <w:p>
      <w:pPr>
        <w:ind w:firstLine="709"/>
        <w:jc w:val="both"/>
        <w:rPr>
          <w:sz w:val="28"/>
          <w:szCs w:val="28"/>
        </w:rPr>
      </w:pPr>
      <w:r>
        <w:rPr>
          <w:sz w:val="28"/>
          <w:szCs w:val="28"/>
        </w:rPr>
        <w:t xml:space="preserve">Экономическая политика в ближайшие годы должна быть сосредоточена на дальнейшем наращивании потенциала экономики, повышении ее гибкости и эффективности.</w:t>
      </w:r>
    </w:p>
    <w:p>
      <w:pPr>
        <w:ind w:firstLine="709"/>
        <w:jc w:val="both"/>
        <w:rPr>
          <w:sz w:val="28"/>
          <w:szCs w:val="28"/>
        </w:rPr>
      </w:pPr>
      <w:r>
        <w:rPr>
          <w:sz w:val="28"/>
          <w:szCs w:val="28"/>
        </w:rPr>
        <w:t xml:space="preserve">Таким образом, сочетание грамотной макроэкономической политики, действ</w:t>
      </w:r>
      <w:r>
        <w:rPr>
          <w:sz w:val="28"/>
          <w:szCs w:val="28"/>
        </w:rPr>
        <w:t xml:space="preserve">енных</w:t>
      </w:r>
      <w:r>
        <w:rPr>
          <w:sz w:val="28"/>
          <w:szCs w:val="28"/>
        </w:rPr>
        <w:t xml:space="preserve"> мер поддержки бизнеса и эффективных социальных инициатив будет способствовать преодолению существующих трудностей и станет основой для долгосрочного устойчивого роста экономики Оренбургской области.</w:t>
      </w:r>
    </w:p>
    <w:p>
      <w:pPr>
        <w:pStyle w:val="33"/>
        <w:jc w:val="center"/>
        <w:rPr>
          <w:sz w:val="20"/>
          <w:szCs w:val="20"/>
        </w:rPr>
      </w:pPr>
    </w:p>
    <w:p>
      <w:pPr>
        <w:pStyle w:val="33"/>
        <w:ind w:firstLine="567"/>
        <w:jc w:val="center"/>
        <w:rPr>
          <w:sz w:val="28"/>
          <w:szCs w:val="28"/>
        </w:rPr>
      </w:pPr>
      <w:r>
        <w:rPr>
          <w:sz w:val="28"/>
          <w:szCs w:val="28"/>
        </w:rPr>
        <w:t xml:space="preserve">Направления (приоритеты) социально-экономического развития </w:t>
      </w:r>
    </w:p>
    <w:p>
      <w:pPr>
        <w:pStyle w:val="33"/>
        <w:ind w:firstLine="567"/>
        <w:jc w:val="center"/>
        <w:rPr>
          <w:sz w:val="28"/>
          <w:szCs w:val="28"/>
        </w:rPr>
      </w:pPr>
      <w:r>
        <w:rPr>
          <w:sz w:val="28"/>
          <w:szCs w:val="28"/>
        </w:rPr>
        <w:t xml:space="preserve">Оренбургской области исходя из задач, определенных национальными и региональными проектами, а также государственными программами </w:t>
      </w:r>
    </w:p>
    <w:p>
      <w:pPr>
        <w:pStyle w:val="33"/>
        <w:ind w:firstLine="567"/>
        <w:jc w:val="center"/>
        <w:rPr>
          <w:sz w:val="28"/>
          <w:szCs w:val="28"/>
        </w:rPr>
      </w:pPr>
      <w:r>
        <w:rPr>
          <w:sz w:val="28"/>
          <w:szCs w:val="28"/>
        </w:rPr>
        <w:t xml:space="preserve">Оренбургской области. Сценарные варианты развития </w:t>
      </w:r>
    </w:p>
    <w:p>
      <w:pPr>
        <w:pStyle w:val="33"/>
        <w:ind w:firstLine="567"/>
        <w:jc w:val="center"/>
        <w:rPr>
          <w:sz w:val="28"/>
          <w:szCs w:val="28"/>
        </w:rPr>
      </w:pPr>
      <w:r>
        <w:rPr>
          <w:sz w:val="28"/>
          <w:szCs w:val="28"/>
        </w:rPr>
        <w:t xml:space="preserve">Оренбургской области</w:t>
      </w:r>
    </w:p>
    <w:p>
      <w:pPr>
        <w:pStyle w:val="33"/>
        <w:ind w:firstLine="709"/>
        <w:rPr>
          <w:b/>
          <w:sz w:val="14"/>
          <w:szCs w:val="28"/>
        </w:rPr>
      </w:pPr>
    </w:p>
    <w:p>
      <w:pPr>
        <w:ind w:firstLine="709"/>
        <w:jc w:val="both"/>
        <w:rPr>
          <w:sz w:val="28"/>
          <w:szCs w:val="28"/>
          <w:highlight w:val="white"/>
        </w:rPr>
      </w:pPr>
      <w:r>
        <w:rPr>
          <w:sz w:val="28"/>
          <w:szCs w:val="28"/>
          <w:highlight w:val="white"/>
        </w:rPr>
        <w:t xml:space="preserve">Прогноз социально-экономического развития Оренбургской области (далее – прогноз) разработан на основании сценарных условий социально-экономического развития Российской Федерации и с учетом прогноза социально-экономического развития Российской Федерации на 2026 год и на плановый период 2027 и 2028 годов, размещенного на сайте Министерства экономического развития Российской Федерации в информационно-телекоммуникационной сети «Интернет», а также с учетом приоритетов и целевых индикаторов социально-экономического развития, установленных Указом Президента Российской Федерации от 7 мая 2024 года № 309 «О национальных целях развития Российской Федерации на период до 2030 года и на перспективу до                 2036 года» (далее – Указ о национальных целях). </w:t>
      </w:r>
    </w:p>
    <w:p>
      <w:pPr>
        <w:ind w:firstLine="709"/>
        <w:jc w:val="both"/>
        <w:rPr>
          <w:sz w:val="28"/>
          <w:szCs w:val="28"/>
          <w:highlight w:val="white"/>
        </w:rPr>
      </w:pPr>
      <w:r>
        <w:rPr>
          <w:sz w:val="28"/>
          <w:szCs w:val="28"/>
          <w:highlight w:val="white"/>
        </w:rPr>
        <w:t xml:space="preserve">Основные параметры прогноза сформированы в двух вариантах.</w:t>
      </w:r>
    </w:p>
    <w:p>
      <w:pPr>
        <w:ind w:firstLine="709"/>
        <w:jc w:val="both"/>
        <w:rPr>
          <w:sz w:val="28"/>
          <w:szCs w:val="28"/>
          <w:highlight w:val="white"/>
        </w:rPr>
      </w:pPr>
      <w:r>
        <w:rPr>
          <w:sz w:val="28"/>
          <w:szCs w:val="28"/>
        </w:rPr>
        <w:t xml:space="preserve">При формировании </w:t>
      </w:r>
      <w:r>
        <w:rPr>
          <w:sz w:val="28"/>
          <w:szCs w:val="28"/>
          <w:highlight w:val="white"/>
        </w:rPr>
        <w:t xml:space="preserve">консервативного варианта прогноза на среднесрочную перспективу </w:t>
      </w:r>
      <w:r>
        <w:rPr>
          <w:sz w:val="28"/>
          <w:szCs w:val="28"/>
          <w:highlight w:val="white"/>
        </w:rPr>
        <w:t xml:space="preserve">учтены  сохранение</w:t>
      </w:r>
      <w:r>
        <w:rPr>
          <w:sz w:val="28"/>
          <w:szCs w:val="28"/>
          <w:highlight w:val="white"/>
        </w:rPr>
        <w:t xml:space="preserve"> </w:t>
      </w:r>
      <w:r>
        <w:rPr>
          <w:sz w:val="28"/>
          <w:szCs w:val="28"/>
          <w:highlight w:val="white"/>
        </w:rPr>
        <w:t xml:space="preserve">санкционного</w:t>
      </w:r>
      <w:r>
        <w:rPr>
          <w:sz w:val="28"/>
          <w:szCs w:val="28"/>
          <w:highlight w:val="white"/>
        </w:rPr>
        <w:t xml:space="preserve"> давления на имеющемся уровне, замедление роста экономики, медленное смягчение денежно-кредитных условий.</w:t>
      </w:r>
    </w:p>
    <w:p>
      <w:pPr>
        <w:ind w:firstLine="709"/>
        <w:jc w:val="both"/>
        <w:rPr>
          <w:sz w:val="28"/>
          <w:szCs w:val="28"/>
          <w:highlight w:val="white"/>
        </w:rPr>
      </w:pPr>
      <w:r>
        <w:rPr>
          <w:sz w:val="28"/>
          <w:szCs w:val="28"/>
          <w:highlight w:val="white"/>
        </w:rPr>
        <w:t xml:space="preserve">В этих условиях ожидаются реализация отдельных </w:t>
      </w:r>
      <w:r>
        <w:rPr>
          <w:sz w:val="28"/>
          <w:szCs w:val="28"/>
          <w:highlight w:val="white"/>
        </w:rPr>
        <w:t xml:space="preserve">проинфляционнных</w:t>
      </w:r>
      <w:r>
        <w:rPr>
          <w:sz w:val="28"/>
          <w:szCs w:val="28"/>
          <w:highlight w:val="white"/>
        </w:rPr>
        <w:t xml:space="preserve"> рисков и, как следствие, длительный период жестких денежно-кредитных </w:t>
      </w:r>
      <w:r>
        <w:rPr>
          <w:sz w:val="28"/>
          <w:szCs w:val="28"/>
          <w:highlight w:val="white"/>
        </w:rPr>
        <w:t xml:space="preserve">условий,  низкой</w:t>
      </w:r>
      <w:r>
        <w:rPr>
          <w:sz w:val="28"/>
          <w:szCs w:val="28"/>
          <w:highlight w:val="white"/>
        </w:rPr>
        <w:t xml:space="preserve"> инвестиционной и потребительской активности. Консервативный вариант предполагает менее оптимистичный вариант развития демографического развития: более низкую рождаемость, большую смертность и меньший миграционный прирост. Соответственно, предполагается более низкая численность занятых в экономике. При этом производительность труда будет расти меньшими темпами. </w:t>
      </w:r>
    </w:p>
    <w:p>
      <w:pPr>
        <w:pStyle w:val="afd"/>
        <w:spacing w:before="0" w:beforeAutospacing="0" w:after="0" w:afterAutospacing="0"/>
        <w:ind w:firstLine="709"/>
        <w:jc w:val="both"/>
        <w:rPr>
          <w:color w:val="000000"/>
          <w:spacing w:val="0"/>
          <w:sz w:val="28"/>
          <w:szCs w:val="28"/>
          <w:highlight w:val="white"/>
        </w:rPr>
      </w:pPr>
      <w:r>
        <w:rPr>
          <w:color w:val="000000"/>
          <w:spacing w:val="0"/>
          <w:sz w:val="28"/>
          <w:szCs w:val="28"/>
          <w:highlight w:val="white"/>
        </w:rPr>
        <w:t xml:space="preserve">Базовый вариант прогноза принят за основу прогноза </w:t>
      </w:r>
      <w:r>
        <w:rPr>
          <w:color w:val="000000"/>
          <w:spacing w:val="0"/>
          <w:sz w:val="28"/>
          <w:szCs w:val="28"/>
          <w:highlight w:val="white"/>
          <w:shd w:val="clear" w:color="auto" w:fill="ffffff"/>
        </w:rPr>
        <w:t xml:space="preserve">и представляет наиболее вероятный сценарий развития экономики. Он основан на предпосылке о частичной стабилизации геополитической ситуации и постепенной адаптации экономики к текущим торговым барьерам. В нем учтен</w:t>
      </w:r>
      <w:r>
        <w:rPr>
          <w:color w:val="000000"/>
          <w:spacing w:val="0"/>
          <w:sz w:val="28"/>
          <w:szCs w:val="28"/>
          <w:highlight w:val="white"/>
          <w:shd w:val="clear" w:color="auto" w:fill="ffffff"/>
        </w:rPr>
        <w:t xml:space="preserve">а</w:t>
      </w:r>
      <w:r>
        <w:rPr>
          <w:color w:val="000000"/>
          <w:spacing w:val="0"/>
          <w:sz w:val="28"/>
          <w:szCs w:val="28"/>
          <w:highlight w:val="white"/>
          <w:shd w:val="clear" w:color="auto" w:fill="ffffff"/>
        </w:rPr>
        <w:t xml:space="preserve"> </w:t>
      </w:r>
      <w:r>
        <w:rPr>
          <w:color w:val="000000"/>
          <w:spacing w:val="0"/>
          <w:sz w:val="28"/>
          <w:szCs w:val="28"/>
          <w:highlight w:val="white"/>
          <w:shd w:val="clear" w:color="auto" w:fill="ffffff"/>
        </w:rPr>
        <w:t xml:space="preserve">реализация  Указа</w:t>
      </w:r>
      <w:r>
        <w:rPr>
          <w:color w:val="000000"/>
          <w:spacing w:val="0"/>
          <w:sz w:val="28"/>
          <w:szCs w:val="28"/>
          <w:highlight w:val="white"/>
          <w:shd w:val="clear" w:color="auto" w:fill="ffffff"/>
        </w:rPr>
        <w:t xml:space="preserve"> о национальных целях и комплекс</w:t>
      </w:r>
      <w:r>
        <w:rPr>
          <w:color w:val="000000"/>
          <w:spacing w:val="0"/>
          <w:sz w:val="28"/>
          <w:szCs w:val="28"/>
          <w:highlight w:val="white"/>
          <w:shd w:val="clear" w:color="auto" w:fill="ffffff"/>
        </w:rPr>
        <w:t xml:space="preserve">а</w:t>
      </w:r>
      <w:r>
        <w:rPr>
          <w:color w:val="000000"/>
          <w:spacing w:val="0"/>
          <w:sz w:val="28"/>
          <w:szCs w:val="28"/>
          <w:highlight w:val="white"/>
          <w:shd w:val="clear" w:color="auto" w:fill="ffffff"/>
        </w:rPr>
        <w:t xml:space="preserve"> системных решений и приоритетов, </w:t>
      </w:r>
      <w:r>
        <w:rPr>
          <w:color w:val="000000"/>
          <w:spacing w:val="0"/>
          <w:sz w:val="28"/>
          <w:szCs w:val="28"/>
          <w:highlight w:val="white"/>
          <w:shd w:val="clear" w:color="auto" w:fill="ffffff"/>
        </w:rPr>
        <w:t xml:space="preserve">принятых Правительством Российской Федерации и Правительством Оренбургской области для обеспечения устойчивости развития экономики.  В данном варианте прогноза учтены следующие тенденции: изменение ключевых направлений внешней торговли с переориентацией на нейтральные и дружественные страны, восстановление экспорта за счет развити</w:t>
      </w:r>
      <w:r>
        <w:rPr>
          <w:spacing w:val="0"/>
          <w:sz w:val="28"/>
          <w:szCs w:val="28"/>
          <w:highlight w:val="white"/>
          <w:shd w:val="clear" w:color="auto" w:fill="ffffff"/>
        </w:rPr>
        <w:t xml:space="preserve">я соответствующих новых логистических и производственных цепочек; </w:t>
      </w:r>
      <w:r>
        <w:rPr>
          <w:sz w:val="28"/>
          <w:szCs w:val="28"/>
          <w:highlight w:val="white"/>
        </w:rPr>
        <w:t xml:space="preserve">расширение внутреннего производства и продолжение процесса </w:t>
      </w:r>
      <w:r>
        <w:rPr>
          <w:sz w:val="28"/>
          <w:szCs w:val="28"/>
          <w:highlight w:val="white"/>
        </w:rPr>
        <w:t xml:space="preserve">импортозамещения</w:t>
      </w:r>
      <w:r>
        <w:rPr>
          <w:sz w:val="28"/>
          <w:szCs w:val="28"/>
          <w:highlight w:val="white"/>
        </w:rPr>
        <w:t xml:space="preserve">, </w:t>
      </w:r>
      <w:r>
        <w:rPr>
          <w:color w:val="000000"/>
          <w:spacing w:val="0"/>
          <w:sz w:val="28"/>
          <w:szCs w:val="28"/>
          <w:highlight w:val="white"/>
          <w:shd w:val="clear" w:color="auto" w:fill="ffffff"/>
        </w:rPr>
        <w:t xml:space="preserve">сохранение стабильной ситуации на рынке труда, рост реальных доходов населения, </w:t>
      </w:r>
      <w:r>
        <w:rPr>
          <w:spacing w:val="0"/>
          <w:sz w:val="28"/>
          <w:szCs w:val="28"/>
        </w:rPr>
        <w:t xml:space="preserve">сохранение высокой инвестиционной активности.</w:t>
      </w:r>
    </w:p>
    <w:p>
      <w:pPr>
        <w:pStyle w:val="afd"/>
        <w:spacing w:before="0" w:beforeAutospacing="0" w:after="0" w:afterAutospacing="0"/>
        <w:ind w:firstLine="709"/>
        <w:jc w:val="both"/>
        <w:rPr>
          <w:sz w:val="28"/>
          <w:szCs w:val="28"/>
        </w:rPr>
      </w:pPr>
      <w:r>
        <w:rPr>
          <w:sz w:val="28"/>
          <w:szCs w:val="28"/>
          <w:highlight w:val="white"/>
        </w:rPr>
        <w:t xml:space="preserve">Ключевые задачи развития экономики определены стратегией социально-экономического развития Оренбургской области до 2036 года, государственными программами Оренбургской области и региональными проектами.</w:t>
      </w:r>
    </w:p>
    <w:p>
      <w:pPr>
        <w:ind w:firstLine="708"/>
        <w:jc w:val="both"/>
        <w:rPr>
          <w:sz w:val="28"/>
          <w:szCs w:val="28"/>
          <w:highlight w:val="white"/>
        </w:rPr>
      </w:pPr>
      <w:r>
        <w:rPr>
          <w:sz w:val="28"/>
          <w:szCs w:val="28"/>
          <w:highlight w:val="white"/>
        </w:rPr>
        <w:t xml:space="preserve">Государственные программы Оренбургской области разрабатываются в соответствии с постановлением Правительства Оренбургской области от                    28 апреля 2011 года № 279-п «Об утверждении порядка разработки, реализации и оценки эффективности государственных программ Оренбургской области».</w:t>
      </w:r>
    </w:p>
    <w:p>
      <w:pPr>
        <w:ind w:firstLine="709"/>
        <w:jc w:val="both"/>
        <w:rPr>
          <w:sz w:val="28"/>
          <w:szCs w:val="28"/>
          <w:highlight w:val="white"/>
        </w:rPr>
      </w:pPr>
      <w:r>
        <w:rPr>
          <w:sz w:val="28"/>
          <w:szCs w:val="28"/>
          <w:highlight w:val="white"/>
        </w:rPr>
        <w:t xml:space="preserve">В соответствии с постановлением Правительства Оренбургской области от 26 декабря 2023 года № 1387-пп «Об утверждении перечня государственных программ Оренбургской области» в 2025 году на территории Оренбургской области реализуются 25 государственных программ Оренбургской области. </w:t>
      </w:r>
    </w:p>
    <w:p>
      <w:pPr>
        <w:tabs>
          <w:tab w:val="left" w:pos="8222"/>
        </w:tabs>
        <w:ind w:firstLine="709"/>
        <w:jc w:val="both"/>
        <w:rPr>
          <w:color w:val="000000" w:themeColor="text1"/>
          <w:sz w:val="28"/>
          <w:szCs w:val="28"/>
          <w:highlight w:val="white"/>
        </w:rPr>
      </w:pPr>
      <w:r>
        <w:rPr>
          <w:color w:val="000000" w:themeColor="text1"/>
          <w:sz w:val="28"/>
          <w:szCs w:val="28"/>
          <w:highlight w:val="white"/>
        </w:rPr>
        <w:t xml:space="preserve">В 2025 году в Оренбургской области реализуются 43 региональных проекта. Заключено 43 соглашения о реализации региональных проектов и утверждено 43 паспорта региональных проектов. На реализацию региональных проектов в 2025 году (на 1 октября 2025 года) предусмотрено 27 994,8 млн. рублей, в том числе: 17 281,2 млн. рублей – средства федерального </w:t>
      </w:r>
      <w:r>
        <w:rPr>
          <w:color w:val="000000" w:themeColor="text1"/>
          <w:sz w:val="28"/>
          <w:szCs w:val="28"/>
          <w:highlight w:val="white"/>
        </w:rPr>
        <w:t xml:space="preserve">бюджета,   </w:t>
      </w:r>
      <w:r>
        <w:rPr>
          <w:color w:val="000000" w:themeColor="text1"/>
          <w:sz w:val="28"/>
          <w:szCs w:val="28"/>
          <w:highlight w:val="white"/>
        </w:rPr>
        <w:t xml:space="preserve">            10 290,6 млн. рублей – средства областного бюджета, 423,0 млн. рублей – средства местных бюджетов.</w:t>
      </w:r>
    </w:p>
    <w:p>
      <w:pPr>
        <w:tabs>
          <w:tab w:val="left" w:pos="8222"/>
        </w:tabs>
        <w:ind w:firstLine="709"/>
        <w:jc w:val="both"/>
        <w:rPr>
          <w:color w:val="000000" w:themeColor="text1"/>
          <w:sz w:val="28"/>
          <w:szCs w:val="28"/>
          <w:highlight w:val="green"/>
        </w:rPr>
      </w:pPr>
    </w:p>
    <w:p>
      <w:pPr>
        <w:jc w:val="center"/>
        <w:rPr>
          <w:color w:val="000000" w:themeColor="text1"/>
          <w:sz w:val="28"/>
          <w:szCs w:val="28"/>
        </w:rPr>
      </w:pPr>
      <w:r>
        <w:rPr>
          <w:color w:val="000000" w:themeColor="text1"/>
          <w:sz w:val="28"/>
          <w:szCs w:val="28"/>
        </w:rPr>
        <w:t xml:space="preserve">Валовой региональный продукт</w:t>
      </w:r>
    </w:p>
    <w:p>
      <w:pPr>
        <w:jc w:val="center"/>
        <w:rPr>
          <w:color w:val="000000" w:themeColor="text1"/>
          <w:sz w:val="28"/>
          <w:szCs w:val="28"/>
          <w:highlight w:val="darkGray"/>
        </w:rPr>
      </w:pPr>
    </w:p>
    <w:p>
      <w:pPr>
        <w:ind w:firstLine="709"/>
        <w:jc w:val="both"/>
        <w:rPr>
          <w:color w:val="000000" w:themeColor="text1"/>
          <w:sz w:val="28"/>
          <w:szCs w:val="28"/>
        </w:rPr>
      </w:pPr>
      <w:r>
        <w:rPr>
          <w:bCs/>
          <w:color w:val="000000" w:themeColor="text1"/>
          <w:sz w:val="28"/>
          <w:szCs w:val="28"/>
        </w:rPr>
        <w:t xml:space="preserve">ВРП Оренбургской области в 2023 году составил 1 764,0 млрд. рублей, индекс физического объема по сравнению с 2022 годом – 106,2 процента. </w:t>
      </w:r>
    </w:p>
    <w:p>
      <w:pPr>
        <w:ind w:firstLine="567"/>
        <w:contextualSpacing/>
        <w:jc w:val="both"/>
        <w:rPr>
          <w:color w:val="000000" w:themeColor="text1"/>
          <w:sz w:val="28"/>
          <w:szCs w:val="28"/>
          <w:highlight w:val="white"/>
        </w:rPr>
      </w:pPr>
      <w:r>
        <w:rPr>
          <w:color w:val="000000" w:themeColor="text1"/>
          <w:sz w:val="28"/>
          <w:szCs w:val="28"/>
          <w:highlight w:val="white"/>
        </w:rPr>
        <w:t xml:space="preserve">В структуре ВРП наибольшая доля сохраняется за промышленными видами деятельности – 57,6 процента, из которых 41,6 процента составляет добыча полезных ископаемых. </w:t>
      </w:r>
    </w:p>
    <w:p>
      <w:pPr>
        <w:ind w:firstLine="567"/>
        <w:jc w:val="both"/>
        <w:rPr>
          <w:color w:val="000000" w:themeColor="text1"/>
          <w:sz w:val="28"/>
          <w:szCs w:val="28"/>
        </w:rPr>
      </w:pPr>
      <w:r>
        <w:rPr>
          <w:color w:val="000000" w:themeColor="text1"/>
          <w:sz w:val="28"/>
          <w:szCs w:val="28"/>
          <w:highlight w:val="white"/>
        </w:rPr>
        <w:t xml:space="preserve">Доля сельского хозяйства в ВРП </w:t>
      </w:r>
      <w:bookmarkStart w:id="1" w:name="undefined"/>
      <w:bookmarkEnd w:id="1"/>
      <w:r>
        <w:rPr>
          <w:color w:val="000000" w:themeColor="text1"/>
          <w:sz w:val="28"/>
          <w:szCs w:val="28"/>
          <w:highlight w:val="white"/>
        </w:rPr>
        <w:t xml:space="preserve">составила 7,1 процента, </w:t>
      </w:r>
      <w:r>
        <w:rPr>
          <w:color w:val="000000" w:themeColor="text1"/>
          <w:sz w:val="28"/>
          <w:szCs w:val="28"/>
        </w:rPr>
        <w:t xml:space="preserve">торговли –                6,5 процента, операций с недвижимым имуществом – 6,5 процента, </w:t>
      </w:r>
      <w:r>
        <w:rPr>
          <w:color w:val="000000" w:themeColor="text1"/>
          <w:sz w:val="28"/>
          <w:szCs w:val="28"/>
        </w:rPr>
        <w:t xml:space="preserve">госуправления</w:t>
      </w:r>
      <w:r>
        <w:rPr>
          <w:color w:val="000000" w:themeColor="text1"/>
          <w:sz w:val="28"/>
          <w:szCs w:val="28"/>
        </w:rPr>
        <w:t xml:space="preserve"> – 4,4 процента,</w:t>
      </w:r>
      <w:r>
        <w:rPr>
          <w:color w:val="ff0000"/>
          <w:sz w:val="28"/>
          <w:szCs w:val="28"/>
        </w:rPr>
        <w:t xml:space="preserve"> </w:t>
      </w:r>
      <w:r>
        <w:rPr>
          <w:color w:val="000000" w:themeColor="text1"/>
          <w:sz w:val="28"/>
          <w:szCs w:val="28"/>
        </w:rPr>
        <w:t xml:space="preserve">строительства – 4,0 процента, логистики (транспортировки и хранения) – 4,0 процента,</w:t>
      </w:r>
      <w:r>
        <w:rPr>
          <w:color w:val="ff0000"/>
          <w:sz w:val="28"/>
          <w:szCs w:val="28"/>
        </w:rPr>
        <w:t xml:space="preserve"> </w:t>
      </w:r>
      <w:r>
        <w:rPr>
          <w:color w:val="000000" w:themeColor="text1"/>
          <w:sz w:val="28"/>
          <w:szCs w:val="28"/>
        </w:rPr>
        <w:t xml:space="preserve">образования – 2,6 процента,</w:t>
      </w:r>
      <w:r>
        <w:rPr>
          <w:color w:val="ff0000"/>
          <w:sz w:val="28"/>
          <w:szCs w:val="28"/>
        </w:rPr>
        <w:t xml:space="preserve"> </w:t>
      </w:r>
      <w:r>
        <w:rPr>
          <w:color w:val="000000" w:themeColor="text1"/>
          <w:sz w:val="28"/>
          <w:szCs w:val="28"/>
        </w:rPr>
        <w:t xml:space="preserve">здравоохранения и социальных услуг – 2,4 процента, других видов деятельности – 4,9 процента. </w:t>
      </w:r>
    </w:p>
    <w:p>
      <w:pPr>
        <w:ind w:firstLine="709"/>
        <w:jc w:val="both"/>
        <w:rPr>
          <w:color w:val="000000" w:themeColor="text1"/>
          <w:sz w:val="28"/>
          <w:szCs w:val="28"/>
        </w:rPr>
      </w:pPr>
    </w:p>
    <w:p>
      <w:pPr>
        <w:ind w:firstLine="709"/>
        <w:jc w:val="both"/>
        <w:rPr>
          <w:color w:val="000000" w:themeColor="text1"/>
          <w:sz w:val="28"/>
          <w:szCs w:val="28"/>
        </w:rPr>
      </w:pPr>
      <w:r>
        <w:rPr>
          <w:color w:val="000000" w:themeColor="text1"/>
          <w:sz w:val="28"/>
          <w:szCs w:val="28"/>
        </w:rPr>
        <w:t xml:space="preserve">По оценочным расчетам, значительных изменений в структуре ВРП до 2028 года не прогнозируется.</w:t>
      </w:r>
    </w:p>
    <w:p>
      <w:pPr>
        <w:ind w:firstLine="709"/>
        <w:jc w:val="both"/>
        <w:rPr>
          <w:color w:val="000000" w:themeColor="text1"/>
          <w:sz w:val="28"/>
          <w:szCs w:val="28"/>
        </w:rPr>
      </w:pPr>
      <w:r>
        <w:rPr>
          <w:color w:val="000000" w:themeColor="text1"/>
          <w:sz w:val="28"/>
          <w:szCs w:val="28"/>
        </w:rPr>
        <w:t xml:space="preserve">В 2024 году ВРП оценочно составил 1 997,24 млрд. рублей, или                       103,6 процента в сопоставимых ценах к уровню предыдущего года. </w:t>
      </w:r>
    </w:p>
    <w:p>
      <w:pPr>
        <w:ind w:firstLine="567"/>
        <w:contextualSpacing/>
        <w:jc w:val="both"/>
        <w:rPr>
          <w:color w:val="000000" w:themeColor="text1"/>
        </w:rPr>
      </w:pPr>
      <w:r>
        <w:rPr>
          <w:color w:val="000000" w:themeColor="text1"/>
          <w:sz w:val="28"/>
          <w:szCs w:val="28"/>
        </w:rPr>
        <w:t xml:space="preserve">В 2025 году показатель ВРП оценивается в сумме 2 150 990,8 млрд. рублей.   </w:t>
      </w:r>
    </w:p>
    <w:p>
      <w:pPr>
        <w:ind w:firstLine="567"/>
        <w:contextualSpacing/>
        <w:jc w:val="both"/>
        <w:rPr>
          <w:color w:val="000000" w:themeColor="text1"/>
          <w:sz w:val="28"/>
          <w:szCs w:val="28"/>
        </w:rPr>
      </w:pPr>
      <w:r>
        <w:rPr>
          <w:color w:val="000000" w:themeColor="text1"/>
          <w:sz w:val="28"/>
          <w:szCs w:val="28"/>
        </w:rPr>
        <w:t xml:space="preserve">По базовому и консервативному вариантам прогноза прогнозируется уверенный рост показателя на уровне 101,6–102,5 процента в 2028 году по отношению к уровню предыдущего года.</w:t>
      </w:r>
    </w:p>
    <w:p>
      <w:pPr>
        <w:ind w:firstLine="567"/>
        <w:contextualSpacing/>
        <w:jc w:val="both"/>
        <w:rPr>
          <w:color w:val="ff0000"/>
        </w:rPr>
      </w:pPr>
      <w:r>
        <w:rPr>
          <w:color w:val="000000" w:themeColor="text1"/>
          <w:sz w:val="28"/>
          <w:szCs w:val="28"/>
        </w:rPr>
        <w:t xml:space="preserve">Основной вклад в рост показателя внесут наращивание выпуска и отгрузки промышленной и сельскохозяйственной продукции, </w:t>
      </w:r>
      <w:r>
        <w:rPr>
          <w:sz w:val="28"/>
          <w:szCs w:val="28"/>
        </w:rPr>
        <w:t xml:space="preserve">создание новых производств, модернизация существующих мощностей предприятий, </w:t>
      </w:r>
      <w:r>
        <w:rPr>
          <w:sz w:val="28"/>
          <w:szCs w:val="28"/>
        </w:rPr>
        <w:t xml:space="preserve">импортоопережение</w:t>
      </w:r>
      <w:r>
        <w:rPr>
          <w:sz w:val="28"/>
          <w:szCs w:val="28"/>
        </w:rPr>
        <w:t xml:space="preserve">, привлечение инвестиций в экономику области через особую экономическую зону «Оренбуржье» и территории опережающего социально-экономического развития, развитие малого и среднего предпринимательства, рост потребительского спроса.</w:t>
      </w:r>
    </w:p>
    <w:p>
      <w:pPr>
        <w:ind w:firstLine="709"/>
        <w:jc w:val="both"/>
        <w:rPr>
          <w:color w:val="ff0000"/>
          <w:sz w:val="28"/>
          <w:szCs w:val="28"/>
        </w:rPr>
      </w:pPr>
    </w:p>
    <w:p>
      <w:pPr>
        <w:pStyle w:val="33"/>
        <w:spacing w:line="233" w:lineRule="auto"/>
        <w:jc w:val="center"/>
        <w:rPr>
          <w:bCs/>
          <w:sz w:val="28"/>
          <w:szCs w:val="28"/>
        </w:rPr>
      </w:pPr>
      <w:r>
        <w:rPr>
          <w:bCs/>
          <w:sz w:val="28"/>
          <w:szCs w:val="28"/>
        </w:rPr>
        <w:t xml:space="preserve">Промышленное производство</w:t>
      </w:r>
    </w:p>
    <w:p>
      <w:pPr>
        <w:pStyle w:val="33"/>
        <w:spacing w:line="233" w:lineRule="auto"/>
        <w:jc w:val="center"/>
        <w:rPr>
          <w:bCs/>
          <w:sz w:val="28"/>
          <w:szCs w:val="28"/>
          <w:highlight w:val="yellow"/>
        </w:rPr>
      </w:pPr>
    </w:p>
    <w:p>
      <w:pPr>
        <w:widowControl w:val="off"/>
        <w:ind w:firstLine="709"/>
        <w:jc w:val="both"/>
        <w:rPr>
          <w:sz w:val="28"/>
          <w:szCs w:val="28"/>
          <w:highlight w:val="white"/>
        </w:rPr>
      </w:pPr>
      <w:r>
        <w:rPr>
          <w:sz w:val="28"/>
          <w:szCs w:val="28"/>
          <w:highlight w:val="white"/>
        </w:rPr>
        <w:t xml:space="preserve">По итогам 2025 года индекс промышленного производства оценивается на уровне 99,8 процента, объем отгруженных товаров собственного производства, выполненных работ и услуг собственными силами составит оценочно                1 816 684,0 млн. рублей.</w:t>
      </w:r>
    </w:p>
    <w:p>
      <w:pPr>
        <w:widowControl w:val="off"/>
        <w:ind w:firstLine="709"/>
        <w:jc w:val="both"/>
        <w:rPr>
          <w:sz w:val="28"/>
          <w:szCs w:val="28"/>
          <w:highlight w:val="white"/>
        </w:rPr>
      </w:pPr>
      <w:r>
        <w:rPr>
          <w:sz w:val="28"/>
          <w:szCs w:val="28"/>
          <w:highlight w:val="white"/>
        </w:rPr>
        <w:t xml:space="preserve">Предполагается, что с учетом условий и факторов, определяющих развитие промышленности, индекс промышленного производства в 2026 году составит 102,2 процента по отношению к уровню 2025 года, в 2027 году –  </w:t>
      </w:r>
      <w:r>
        <w:rPr>
          <w:sz w:val="28"/>
          <w:szCs w:val="28"/>
          <w:highlight w:val="white"/>
        </w:rPr>
        <w:br/>
      </w:r>
      <w:r>
        <w:rPr>
          <w:sz w:val="28"/>
          <w:szCs w:val="28"/>
          <w:highlight w:val="white"/>
        </w:rPr>
        <w:t xml:space="preserve">102,6 процента, в 2028 году – 102,7 процента к уровню 2027 года по базовому варианту прогноза.</w:t>
      </w:r>
    </w:p>
    <w:p>
      <w:pPr>
        <w:widowControl w:val="off"/>
        <w:ind w:firstLine="709"/>
        <w:jc w:val="both"/>
        <w:rPr>
          <w:sz w:val="28"/>
          <w:szCs w:val="28"/>
          <w:highlight w:val="white"/>
        </w:rPr>
      </w:pPr>
      <w:r>
        <w:rPr>
          <w:sz w:val="28"/>
          <w:szCs w:val="28"/>
          <w:highlight w:val="white"/>
        </w:rPr>
        <w:t xml:space="preserve">В 2025 году ожидается постепенное восстановление инвестиционной активности в обрабатывающих отраслях за счет реализации программ по </w:t>
      </w:r>
      <w:r>
        <w:rPr>
          <w:sz w:val="28"/>
          <w:szCs w:val="28"/>
          <w:highlight w:val="white"/>
        </w:rPr>
        <w:t xml:space="preserve">импортозамещению</w:t>
      </w:r>
      <w:r>
        <w:rPr>
          <w:sz w:val="28"/>
          <w:szCs w:val="28"/>
          <w:highlight w:val="white"/>
        </w:rPr>
        <w:t xml:space="preserve"> и переориентации импортных поставок на дружественные и нейтральные страны.</w:t>
      </w:r>
    </w:p>
    <w:p>
      <w:pPr>
        <w:widowControl w:val="off"/>
        <w:ind w:firstLine="709"/>
        <w:jc w:val="both"/>
        <w:rPr>
          <w:sz w:val="28"/>
          <w:szCs w:val="28"/>
          <w:highlight w:val="white"/>
        </w:rPr>
      </w:pPr>
      <w:r>
        <w:rPr>
          <w:sz w:val="28"/>
          <w:szCs w:val="28"/>
          <w:highlight w:val="white"/>
        </w:rPr>
        <w:t xml:space="preserve">Ускорению темпов роста промышленного производства в 2026–</w:t>
      </w:r>
      <w:r>
        <w:rPr>
          <w:sz w:val="28"/>
          <w:szCs w:val="28"/>
          <w:highlight w:val="white"/>
        </w:rPr>
        <w:br/>
      </w:r>
      <w:r>
        <w:rPr>
          <w:sz w:val="28"/>
          <w:szCs w:val="28"/>
          <w:highlight w:val="white"/>
        </w:rPr>
        <w:t xml:space="preserve">2028 годах будут способствовать эффективная реализация мер, направленных на восстановление и развитие пострадавших отраслей вследствие международных санкций (ограничений), и восстановление платежеспособного спроса  населения.</w:t>
      </w:r>
    </w:p>
    <w:p>
      <w:pPr>
        <w:widowControl w:val="off"/>
        <w:ind w:firstLine="709"/>
        <w:jc w:val="both"/>
        <w:rPr>
          <w:sz w:val="28"/>
          <w:szCs w:val="28"/>
          <w:highlight w:val="white"/>
        </w:rPr>
      </w:pPr>
      <w:r>
        <w:rPr>
          <w:sz w:val="28"/>
          <w:szCs w:val="28"/>
        </w:rPr>
        <w:t xml:space="preserve">Наибол</w:t>
      </w:r>
      <w:r>
        <w:rPr>
          <w:sz w:val="28"/>
          <w:szCs w:val="28"/>
          <w:highlight w:val="white"/>
        </w:rPr>
        <w:t xml:space="preserve">ьшую долю в промышленном производстве занимает добыча полезных ископаемых (57,4 процента по итогам 2024 года). </w:t>
      </w:r>
    </w:p>
    <w:p>
      <w:pPr>
        <w:tabs>
          <w:tab w:val="left" w:pos="142"/>
          <w:tab w:val="left" w:pos="709"/>
        </w:tabs>
        <w:ind w:right="-58" w:firstLine="709"/>
        <w:jc w:val="both"/>
        <w:rPr>
          <w:sz w:val="28"/>
          <w:szCs w:val="28"/>
        </w:rPr>
      </w:pPr>
      <w:r>
        <w:rPr>
          <w:sz w:val="28"/>
          <w:szCs w:val="28"/>
        </w:rPr>
        <w:t xml:space="preserve">В 2025 году индекс производства добычи полезных ископаемых ожидается на уровне 99,7 процента к уровню 2024 года, в 2026 году – 100,3 процента, в 2027 году – 100,8 процента, в 2028 году – 100,8 процента к уровню предыдущего года по базовому варианту. </w:t>
      </w:r>
    </w:p>
    <w:p>
      <w:pPr>
        <w:widowControl w:val="off"/>
        <w:ind w:firstLine="709"/>
        <w:jc w:val="both"/>
        <w:rPr>
          <w:sz w:val="28"/>
          <w:szCs w:val="28"/>
          <w:highlight w:val="white"/>
        </w:rPr>
      </w:pPr>
      <w:r>
        <w:rPr>
          <w:sz w:val="28"/>
          <w:szCs w:val="28"/>
          <w:highlight w:val="white"/>
        </w:rPr>
        <w:t xml:space="preserve">Основное место в добыче полезных ископаемых занимают нефть и газ (86,6 процента по итогам 2024 года). Несмотря на внешние ограничения, </w:t>
      </w:r>
      <w:r>
        <w:rPr>
          <w:sz w:val="28"/>
          <w:szCs w:val="28"/>
          <w:highlight w:val="white"/>
        </w:rPr>
        <w:t xml:space="preserve">нефтедобывающие предприятия Оренбургской области осуществляют реализацию инвестиционных проектов, направленных на обеспечение прироста добычи на эксплуатируемых месторождениях, увеличение эффективности нефтедобычи, </w:t>
      </w:r>
      <w:r>
        <w:rPr>
          <w:sz w:val="28"/>
          <w:szCs w:val="28"/>
          <w:highlight w:val="white"/>
        </w:rPr>
        <w:t xml:space="preserve">доразведку</w:t>
      </w:r>
      <w:r>
        <w:rPr>
          <w:sz w:val="28"/>
          <w:szCs w:val="28"/>
          <w:highlight w:val="white"/>
        </w:rPr>
        <w:t xml:space="preserve"> месторождений и прирост запасов, а также проектов утилизации попутного нефтяного газа.</w:t>
      </w:r>
    </w:p>
    <w:p>
      <w:pPr>
        <w:ind w:firstLine="708"/>
        <w:jc w:val="both"/>
        <w:rPr>
          <w:sz w:val="28"/>
          <w:szCs w:val="28"/>
        </w:rPr>
      </w:pPr>
      <w:r>
        <w:rPr>
          <w:sz w:val="28"/>
          <w:szCs w:val="28"/>
        </w:rPr>
        <w:t xml:space="preserve">Динамику промышленного производства Оренбургской области в значительной степени определяет также деятельность обрабатывающих производств. </w:t>
      </w:r>
    </w:p>
    <w:p>
      <w:pPr>
        <w:ind w:firstLine="708"/>
        <w:jc w:val="both"/>
        <w:rPr>
          <w:sz w:val="28"/>
          <w:szCs w:val="28"/>
        </w:rPr>
      </w:pPr>
      <w:r>
        <w:rPr>
          <w:sz w:val="28"/>
          <w:szCs w:val="28"/>
        </w:rPr>
        <w:t xml:space="preserve">Индекс обрабатывающих производств в 2025 году оценивается на уровне 101,5 процента к уровню 2024 года, в 2026 году – 104,3 процента к уровню 2025 года, в 2027 году – 104,6 процента к уровню 2026 года, в                     2027 году – 104,7 процента к уровню 2027 года по базовому варианту прогноза.</w:t>
      </w:r>
    </w:p>
    <w:p>
      <w:pPr>
        <w:tabs>
          <w:tab w:val="left" w:pos="142"/>
          <w:tab w:val="left" w:pos="709"/>
        </w:tabs>
        <w:ind w:right="-58" w:firstLine="709"/>
        <w:jc w:val="both"/>
        <w:rPr>
          <w:sz w:val="28"/>
          <w:szCs w:val="28"/>
        </w:rPr>
      </w:pPr>
      <w:r>
        <w:rPr>
          <w:sz w:val="28"/>
          <w:szCs w:val="28"/>
        </w:rPr>
        <w:t xml:space="preserve">На развитие обрабатывающих производств в среднесрочной перспективе будут оказывать влияние следующие факторы:</w:t>
      </w:r>
    </w:p>
    <w:p>
      <w:pPr>
        <w:tabs>
          <w:tab w:val="left" w:pos="142"/>
          <w:tab w:val="left" w:pos="709"/>
        </w:tabs>
        <w:ind w:right="-58" w:firstLine="709"/>
        <w:jc w:val="both"/>
        <w:rPr>
          <w:rFonts w:ascii="Tinos" w:hAnsi="Tinos" w:eastAsia="Tinos" w:cs="Tinos"/>
          <w:sz w:val="28"/>
          <w:szCs w:val="28"/>
        </w:rPr>
      </w:pPr>
      <w:r>
        <w:rPr>
          <w:rFonts w:ascii="Tinos" w:hAnsi="Tinos" w:eastAsia="Tinos" w:cs="Tinos"/>
          <w:sz w:val="28"/>
          <w:szCs w:val="28"/>
        </w:rPr>
        <w:t xml:space="preserve">развитие межотраслевого взаимодействия по обеспечению предприятий отрасли сырьевыми ресурсами;</w:t>
      </w:r>
    </w:p>
    <w:p>
      <w:pPr>
        <w:tabs>
          <w:tab w:val="left" w:pos="142"/>
          <w:tab w:val="left" w:pos="709"/>
        </w:tabs>
        <w:ind w:right="-58" w:firstLine="709"/>
        <w:jc w:val="both"/>
        <w:rPr>
          <w:sz w:val="28"/>
          <w:szCs w:val="28"/>
        </w:rPr>
      </w:pPr>
      <w:r>
        <w:rPr>
          <w:sz w:val="28"/>
          <w:szCs w:val="28"/>
        </w:rPr>
        <w:t xml:space="preserve">реализация промышленными предприятиями Оренбургской области инвестиционных проектов;</w:t>
      </w:r>
    </w:p>
    <w:p>
      <w:pPr>
        <w:tabs>
          <w:tab w:val="left" w:pos="142"/>
          <w:tab w:val="left" w:pos="709"/>
        </w:tabs>
        <w:ind w:right="-58" w:firstLine="709"/>
        <w:jc w:val="both"/>
        <w:rPr>
          <w:sz w:val="28"/>
          <w:szCs w:val="28"/>
        </w:rPr>
      </w:pPr>
      <w:r>
        <w:rPr>
          <w:sz w:val="28"/>
          <w:szCs w:val="28"/>
        </w:rPr>
        <w:t xml:space="preserve">реализация мер государственной поддержки путем предоставления льготных займов и субсидий в рамках государственной программы «Развитие промышленности, обеспечение энергосбережения и повышение энергетической эффективности Оренбургской области».</w:t>
      </w:r>
    </w:p>
    <w:p>
      <w:pPr>
        <w:widowControl w:val="off"/>
        <w:tabs>
          <w:tab w:val="left" w:pos="1607"/>
        </w:tabs>
        <w:spacing w:line="233" w:lineRule="auto"/>
        <w:ind w:firstLine="709"/>
        <w:jc w:val="center"/>
        <w:rPr>
          <w:sz w:val="28"/>
          <w:szCs w:val="28"/>
        </w:rPr>
      </w:pPr>
    </w:p>
    <w:p>
      <w:pPr>
        <w:widowControl w:val="off"/>
        <w:tabs>
          <w:tab w:val="left" w:pos="1607"/>
        </w:tabs>
        <w:spacing w:line="233" w:lineRule="auto"/>
        <w:ind w:firstLine="709"/>
        <w:jc w:val="center"/>
        <w:rPr>
          <w:sz w:val="28"/>
          <w:szCs w:val="28"/>
        </w:rPr>
      </w:pPr>
      <w:r>
        <w:rPr>
          <w:sz w:val="28"/>
          <w:szCs w:val="28"/>
        </w:rPr>
        <w:t xml:space="preserve">Сельское хозяйство</w:t>
      </w:r>
    </w:p>
    <w:p>
      <w:pPr>
        <w:widowControl w:val="off"/>
        <w:tabs>
          <w:tab w:val="left" w:pos="1607"/>
        </w:tabs>
        <w:spacing w:line="233" w:lineRule="auto"/>
        <w:ind w:firstLine="709"/>
        <w:jc w:val="center"/>
        <w:rPr>
          <w:sz w:val="28"/>
          <w:szCs w:val="28"/>
        </w:rPr>
      </w:pPr>
    </w:p>
    <w:p>
      <w:pPr>
        <w:widowControl w:val="off"/>
        <w:tabs>
          <w:tab w:val="left" w:pos="1607"/>
        </w:tabs>
        <w:spacing w:line="233" w:lineRule="auto"/>
        <w:ind w:firstLine="709"/>
        <w:jc w:val="both"/>
        <w:rPr>
          <w:sz w:val="28"/>
          <w:szCs w:val="28"/>
          <w:highlight w:val="white"/>
        </w:rPr>
      </w:pPr>
      <w:r>
        <w:rPr>
          <w:sz w:val="28"/>
          <w:szCs w:val="28"/>
          <w:highlight w:val="white"/>
        </w:rPr>
        <w:t xml:space="preserve">Индекс производства продукции сельского хозяйства в 2025 году, по прогнозной оценке, составит 95,04</w:t>
      </w:r>
      <w:r>
        <w:rPr>
          <w:rFonts w:ascii="Tinos" w:hAnsi="Tinos" w:eastAsia="Tinos" w:cs="Tinos"/>
          <w:sz w:val="28"/>
          <w:szCs w:val="28"/>
          <w:highlight w:val="white"/>
        </w:rPr>
        <w:t xml:space="preserve"> </w:t>
      </w:r>
      <w:r>
        <w:rPr>
          <w:rFonts w:ascii="Tinos" w:hAnsi="Tinos" w:eastAsia="Tinos" w:cs="Tinos"/>
          <w:sz w:val="28"/>
          <w:szCs w:val="28"/>
          <w:highlight w:val="white"/>
        </w:rPr>
        <w:t xml:space="preserve">процента  по</w:t>
      </w:r>
      <w:r>
        <w:rPr>
          <w:rFonts w:ascii="Tinos" w:hAnsi="Tinos" w:eastAsia="Tinos" w:cs="Tinos"/>
          <w:sz w:val="28"/>
          <w:szCs w:val="28"/>
          <w:highlight w:val="white"/>
        </w:rPr>
        <w:t xml:space="preserve"> отношению к уровню                    2024 года, </w:t>
      </w:r>
      <w:r>
        <w:rPr>
          <w:rFonts w:ascii="Tinos" w:hAnsi="Tinos" w:eastAsia="Tinos" w:cs="Tinos"/>
          <w:sz w:val="28"/>
          <w:szCs w:val="28"/>
          <w:highlight w:val="white"/>
        </w:rPr>
        <w:t xml:space="preserve"> </w:t>
      </w:r>
      <w:r>
        <w:rPr>
          <w:rFonts w:ascii="Tinos" w:hAnsi="Tinos" w:eastAsia="Tinos" w:cs="Tinos"/>
          <w:sz w:val="28"/>
          <w:szCs w:val="28"/>
          <w:highlight w:val="white"/>
        </w:rPr>
        <w:t xml:space="preserve">в том </w:t>
      </w:r>
      <w:r>
        <w:rPr>
          <w:rFonts w:ascii="Tinos" w:hAnsi="Tinos" w:eastAsia="Tinos" w:cs="Tinos"/>
          <w:sz w:val="28"/>
          <w:szCs w:val="28"/>
          <w:highlight w:val="white"/>
        </w:rPr>
        <w:t xml:space="preserve"> </w:t>
      </w:r>
      <w:r>
        <w:rPr>
          <w:rFonts w:ascii="Tinos" w:hAnsi="Tinos" w:eastAsia="Tinos" w:cs="Tinos"/>
          <w:sz w:val="28"/>
          <w:szCs w:val="28"/>
          <w:highlight w:val="white"/>
        </w:rPr>
        <w:t xml:space="preserve">числе </w:t>
      </w:r>
      <w:r>
        <w:rPr>
          <w:rFonts w:ascii="Tinos" w:hAnsi="Tinos" w:eastAsia="Tinos" w:cs="Tinos"/>
          <w:sz w:val="28"/>
          <w:szCs w:val="28"/>
          <w:highlight w:val="white"/>
        </w:rPr>
        <w:t xml:space="preserve"> </w:t>
      </w:r>
      <w:r>
        <w:rPr>
          <w:rFonts w:ascii="Tinos" w:hAnsi="Tinos" w:eastAsia="Tinos" w:cs="Tinos"/>
          <w:sz w:val="28"/>
          <w:szCs w:val="28"/>
          <w:highlight w:val="white"/>
        </w:rPr>
        <w:t xml:space="preserve">в</w:t>
      </w:r>
      <w:r>
        <w:rPr>
          <w:rFonts w:ascii="Tinos" w:hAnsi="Tinos" w:eastAsia="Tinos" w:cs="Tinos"/>
          <w:sz w:val="28"/>
          <w:szCs w:val="28"/>
          <w:highlight w:val="white"/>
        </w:rPr>
        <w:t xml:space="preserve"> </w:t>
      </w:r>
      <w:r>
        <w:rPr>
          <w:rFonts w:ascii="Tinos" w:hAnsi="Tinos" w:eastAsia="Tinos" w:cs="Tinos"/>
          <w:sz w:val="28"/>
          <w:szCs w:val="28"/>
          <w:highlight w:val="white"/>
        </w:rPr>
        <w:t xml:space="preserve"> растениеводстве</w:t>
      </w:r>
      <w:r>
        <w:rPr>
          <w:rFonts w:ascii="Tinos" w:hAnsi="Tinos" w:eastAsia="Tinos" w:cs="Tinos"/>
          <w:sz w:val="28"/>
          <w:szCs w:val="28"/>
          <w:highlight w:val="white"/>
        </w:rPr>
        <w:t xml:space="preserve"> </w:t>
      </w:r>
      <w:r>
        <w:rPr>
          <w:rFonts w:ascii="Tinos" w:hAnsi="Tinos" w:eastAsia="Tinos" w:cs="Tinos"/>
          <w:sz w:val="28"/>
          <w:szCs w:val="28"/>
          <w:highlight w:val="white"/>
        </w:rPr>
        <w:t xml:space="preserve"> –</w:t>
      </w:r>
      <w:r>
        <w:rPr>
          <w:rFonts w:ascii="Tinos" w:hAnsi="Tinos" w:eastAsia="Tinos" w:cs="Tinos"/>
          <w:sz w:val="28"/>
          <w:szCs w:val="28"/>
          <w:highlight w:val="white"/>
        </w:rPr>
        <w:t xml:space="preserve"> </w:t>
      </w:r>
      <w:r>
        <w:rPr>
          <w:rFonts w:ascii="Tinos" w:hAnsi="Tinos" w:eastAsia="Tinos" w:cs="Tinos"/>
          <w:sz w:val="28"/>
          <w:szCs w:val="28"/>
          <w:highlight w:val="white"/>
        </w:rPr>
        <w:t xml:space="preserve"> 94,01 процента, в </w:t>
      </w:r>
      <w:r>
        <w:rPr>
          <w:rFonts w:ascii="Tinos" w:hAnsi="Tinos" w:eastAsia="Tinos" w:cs="Tinos"/>
          <w:sz w:val="28"/>
          <w:szCs w:val="28"/>
          <w:highlight w:val="white"/>
        </w:rPr>
        <w:t xml:space="preserve"> </w:t>
      </w:r>
      <w:r>
        <w:rPr>
          <w:rFonts w:ascii="Tinos" w:hAnsi="Tinos" w:eastAsia="Tinos" w:cs="Tinos"/>
          <w:sz w:val="28"/>
          <w:szCs w:val="28"/>
          <w:highlight w:val="white"/>
        </w:rPr>
        <w:t xml:space="preserve">животноводстве – 96,88 процента.</w:t>
      </w:r>
    </w:p>
    <w:p>
      <w:pPr>
        <w:tabs>
          <w:tab w:val="left" w:pos="142"/>
          <w:tab w:val="left" w:pos="709"/>
        </w:tabs>
        <w:ind w:right="-58" w:firstLine="709"/>
        <w:jc w:val="both"/>
        <w:rPr>
          <w:sz w:val="28"/>
          <w:szCs w:val="28"/>
        </w:rPr>
      </w:pPr>
      <w:r>
        <w:rPr>
          <w:sz w:val="28"/>
          <w:szCs w:val="28"/>
        </w:rPr>
        <w:t xml:space="preserve">В перспективе (2026–2028 годы) развитие ситуации в агропромышленном комплексе Оренбургской области будет характеризоваться положительной динамикой всех основных показателей производства продукции сельского хозяйства. </w:t>
      </w:r>
    </w:p>
    <w:p>
      <w:pPr>
        <w:shd w:val="clear" w:color="auto" w:fill="ffffff"/>
        <w:tabs>
          <w:tab w:val="left" w:pos="10773"/>
        </w:tabs>
        <w:ind w:firstLine="709"/>
        <w:jc w:val="both"/>
        <w:rPr>
          <w:sz w:val="28"/>
          <w:szCs w:val="28"/>
        </w:rPr>
      </w:pPr>
      <w:r>
        <w:rPr>
          <w:sz w:val="28"/>
          <w:szCs w:val="28"/>
        </w:rPr>
        <w:t xml:space="preserve">В 2026 году индекс производства сельскохозяйственной продукции в хозяйствах всех категорий в сопоставимых ценах к уровню оценки 2025 года прогнозируется по базовому варианту прогноза – 89,59 процента, в 2027 году по базовому варианту прогноза – 102,82 процента к уровню 2026 года, в                  2028 году по базовому варианту прогноза – 102,76 процента к уровню                      2026 года. </w:t>
      </w:r>
    </w:p>
    <w:p>
      <w:pPr>
        <w:shd w:val="clear" w:color="auto" w:fill="ffffff"/>
        <w:tabs>
          <w:tab w:val="left" w:pos="10773"/>
        </w:tabs>
        <w:ind w:firstLine="709"/>
        <w:jc w:val="both"/>
        <w:rPr>
          <w:sz w:val="28"/>
          <w:szCs w:val="28"/>
        </w:rPr>
      </w:pPr>
      <w:r>
        <w:rPr>
          <w:sz w:val="28"/>
          <w:szCs w:val="28"/>
        </w:rPr>
        <w:t xml:space="preserve">Для повышения эффективности развития агропромышленного комплекса Оренбургской области проводятся следующие мероприятия:</w:t>
      </w:r>
    </w:p>
    <w:p>
      <w:pPr>
        <w:shd w:val="clear" w:color="auto" w:fill="ffffff"/>
        <w:tabs>
          <w:tab w:val="left" w:pos="10773"/>
        </w:tabs>
        <w:ind w:firstLine="709"/>
        <w:jc w:val="both"/>
        <w:rPr>
          <w:sz w:val="28"/>
          <w:szCs w:val="28"/>
        </w:rPr>
      </w:pPr>
      <w:r>
        <w:rPr>
          <w:sz w:val="28"/>
          <w:szCs w:val="28"/>
        </w:rPr>
        <w:t xml:space="preserve">техническая и технологическая модернизация;</w:t>
      </w:r>
    </w:p>
    <w:p>
      <w:pPr>
        <w:shd w:val="clear" w:color="auto" w:fill="ffffff"/>
        <w:tabs>
          <w:tab w:val="left" w:pos="10773"/>
        </w:tabs>
        <w:ind w:firstLine="709"/>
        <w:jc w:val="both"/>
        <w:rPr>
          <w:sz w:val="28"/>
          <w:szCs w:val="28"/>
        </w:rPr>
      </w:pPr>
      <w:r>
        <w:rPr>
          <w:sz w:val="28"/>
          <w:szCs w:val="28"/>
        </w:rPr>
        <w:t xml:space="preserve">строительство современных объектов для совершенствования процесса переработки сельскохозяйственной продукции;</w:t>
      </w:r>
    </w:p>
    <w:p>
      <w:pPr>
        <w:shd w:val="clear" w:color="auto" w:fill="ffffff"/>
        <w:tabs>
          <w:tab w:val="left" w:pos="10773"/>
        </w:tabs>
        <w:ind w:firstLine="709"/>
        <w:jc w:val="both"/>
        <w:rPr>
          <w:sz w:val="28"/>
          <w:szCs w:val="28"/>
        </w:rPr>
      </w:pPr>
      <w:r>
        <w:rPr>
          <w:sz w:val="28"/>
          <w:szCs w:val="28"/>
        </w:rPr>
        <w:t xml:space="preserve">вовлечение в оборот земель сельскохозяйственного назначения и развитие мелиоративного комплекса;</w:t>
      </w:r>
    </w:p>
    <w:p>
      <w:pPr>
        <w:shd w:val="clear" w:color="auto" w:fill="ffffff"/>
        <w:tabs>
          <w:tab w:val="left" w:pos="10773"/>
        </w:tabs>
        <w:ind w:firstLine="709"/>
        <w:jc w:val="both"/>
        <w:rPr>
          <w:sz w:val="28"/>
          <w:szCs w:val="28"/>
        </w:rPr>
      </w:pPr>
      <w:r>
        <w:rPr>
          <w:sz w:val="28"/>
          <w:szCs w:val="28"/>
        </w:rPr>
        <w:t xml:space="preserve">увеличение объемов применения минеральных удобрений с целью повышения и сохранения плодородия почв;</w:t>
      </w:r>
    </w:p>
    <w:p>
      <w:pPr>
        <w:shd w:val="clear" w:color="auto" w:fill="ffffff"/>
        <w:tabs>
          <w:tab w:val="left" w:pos="10773"/>
        </w:tabs>
        <w:ind w:firstLine="709"/>
        <w:jc w:val="both"/>
        <w:rPr>
          <w:sz w:val="28"/>
          <w:szCs w:val="28"/>
        </w:rPr>
      </w:pPr>
      <w:r>
        <w:rPr>
          <w:sz w:val="28"/>
          <w:szCs w:val="28"/>
        </w:rPr>
        <w:t xml:space="preserve">поддержка малых форм хозяйствования на селе;</w:t>
      </w:r>
    </w:p>
    <w:p>
      <w:pPr>
        <w:shd w:val="clear" w:color="auto" w:fill="ffffff"/>
        <w:tabs>
          <w:tab w:val="left" w:pos="10773"/>
        </w:tabs>
        <w:ind w:firstLine="709"/>
        <w:jc w:val="both"/>
        <w:rPr>
          <w:sz w:val="28"/>
          <w:szCs w:val="28"/>
        </w:rPr>
      </w:pPr>
      <w:r>
        <w:rPr>
          <w:sz w:val="28"/>
          <w:szCs w:val="28"/>
        </w:rPr>
        <w:t xml:space="preserve">поддержка </w:t>
      </w:r>
      <w:r>
        <w:rPr>
          <w:sz w:val="28"/>
          <w:szCs w:val="28"/>
        </w:rPr>
        <w:t xml:space="preserve">экспортно</w:t>
      </w:r>
      <w:r>
        <w:rPr>
          <w:sz w:val="28"/>
          <w:szCs w:val="28"/>
        </w:rPr>
        <w:t xml:space="preserve"> ориентированных организаций </w:t>
      </w:r>
      <w:r>
        <w:rPr>
          <w:sz w:val="28"/>
          <w:szCs w:val="28"/>
        </w:rPr>
        <w:t xml:space="preserve">агропромышлен-ного</w:t>
      </w:r>
      <w:r>
        <w:rPr>
          <w:sz w:val="28"/>
          <w:szCs w:val="28"/>
        </w:rPr>
        <w:t xml:space="preserve"> комплекса;</w:t>
      </w:r>
    </w:p>
    <w:p>
      <w:pPr>
        <w:shd w:val="clear" w:color="auto" w:fill="ffffff"/>
        <w:tabs>
          <w:tab w:val="left" w:pos="10773"/>
        </w:tabs>
        <w:ind w:firstLine="709"/>
        <w:jc w:val="both"/>
        <w:rPr>
          <w:sz w:val="28"/>
          <w:szCs w:val="28"/>
        </w:rPr>
      </w:pPr>
      <w:r>
        <w:rPr>
          <w:sz w:val="28"/>
          <w:szCs w:val="28"/>
        </w:rPr>
        <w:t xml:space="preserve">развитие системы </w:t>
      </w:r>
      <w:r>
        <w:rPr>
          <w:sz w:val="28"/>
          <w:szCs w:val="28"/>
        </w:rPr>
        <w:t xml:space="preserve">агрострахования</w:t>
      </w:r>
      <w:r>
        <w:rPr>
          <w:sz w:val="28"/>
          <w:szCs w:val="28"/>
        </w:rPr>
        <w:t xml:space="preserve">, способствующей снижению рисков агропромышленного комплекса;</w:t>
      </w:r>
    </w:p>
    <w:p>
      <w:pPr>
        <w:shd w:val="clear" w:color="auto" w:fill="ffffff"/>
        <w:tabs>
          <w:tab w:val="left" w:pos="10773"/>
        </w:tabs>
        <w:ind w:firstLine="709"/>
        <w:jc w:val="both"/>
        <w:rPr>
          <w:sz w:val="28"/>
          <w:szCs w:val="28"/>
        </w:rPr>
      </w:pPr>
      <w:r>
        <w:rPr>
          <w:sz w:val="28"/>
          <w:szCs w:val="28"/>
        </w:rPr>
        <w:t xml:space="preserve">обеспечение доступа сельскохозяйственных товаропроизводителей к кредитным ресурсам и повышение инвестиционной привлекательности хозяйствующих субъектов агропромышленного комплекса;</w:t>
      </w:r>
    </w:p>
    <w:p>
      <w:pPr>
        <w:shd w:val="clear" w:color="auto" w:fill="ffffff"/>
        <w:tabs>
          <w:tab w:val="left" w:pos="10773"/>
        </w:tabs>
        <w:ind w:firstLine="709"/>
        <w:jc w:val="both"/>
        <w:rPr>
          <w:sz w:val="28"/>
          <w:szCs w:val="28"/>
        </w:rPr>
      </w:pPr>
      <w:r>
        <w:rPr>
          <w:sz w:val="28"/>
          <w:szCs w:val="28"/>
        </w:rPr>
        <w:t xml:space="preserve">оказание мер государственной поддержки в виде компенсации части затрат, произведенных сельскохозяйственными товаропроизводителями в ходе осуществления хозяйственной деятельности.</w:t>
      </w:r>
    </w:p>
    <w:p>
      <w:pPr>
        <w:shd w:val="clear" w:color="auto" w:fill="ffffff"/>
        <w:tabs>
          <w:tab w:val="left" w:pos="10773"/>
        </w:tabs>
        <w:ind w:firstLine="709"/>
        <w:jc w:val="both"/>
        <w:rPr>
          <w:sz w:val="18"/>
          <w:szCs w:val="28"/>
        </w:rPr>
      </w:pPr>
    </w:p>
    <w:p>
      <w:pPr>
        <w:pStyle w:val="25"/>
        <w:jc w:val="center"/>
        <w:rPr>
          <w:b w:val="0"/>
          <w:sz w:val="28"/>
          <w:szCs w:val="28"/>
        </w:rPr>
      </w:pPr>
      <w:r>
        <w:rPr>
          <w:b w:val="0"/>
          <w:sz w:val="28"/>
          <w:szCs w:val="28"/>
        </w:rPr>
        <w:t xml:space="preserve">Инвестиции </w:t>
      </w:r>
    </w:p>
    <w:p>
      <w:pPr>
        <w:pStyle w:val="25"/>
        <w:jc w:val="center"/>
        <w:rPr>
          <w:b w:val="0"/>
          <w:sz w:val="16"/>
          <w:szCs w:val="28"/>
        </w:rPr>
      </w:pPr>
    </w:p>
    <w:p>
      <w:pPr>
        <w:ind w:firstLine="851"/>
        <w:jc w:val="both"/>
        <w:rPr>
          <w:sz w:val="28"/>
          <w:szCs w:val="28"/>
          <w:highlight w:val="white"/>
        </w:rPr>
      </w:pPr>
      <w:r>
        <w:rPr>
          <w:sz w:val="28"/>
          <w:szCs w:val="28"/>
        </w:rPr>
        <w:t xml:space="preserve">Индекс физического объема инвестиций в основной капитал в                     2025 году оценивается на уровне 101,99 процента.  </w:t>
      </w:r>
      <w:r>
        <w:rPr>
          <w:sz w:val="28"/>
          <w:szCs w:val="28"/>
          <w:highlight w:val="white"/>
        </w:rPr>
        <w:t xml:space="preserve">Инвестиции осуществляются в основном за счет средств предприятий с привлечением внебюджетных источников.</w:t>
      </w:r>
    </w:p>
    <w:p>
      <w:pPr>
        <w:ind w:firstLine="851"/>
        <w:jc w:val="both"/>
        <w:rPr>
          <w:sz w:val="28"/>
          <w:szCs w:val="28"/>
        </w:rPr>
      </w:pPr>
      <w:r>
        <w:rPr>
          <w:sz w:val="28"/>
          <w:szCs w:val="28"/>
        </w:rPr>
        <w:t xml:space="preserve">В настоящее время на территории Оренбургской области продолжается реализация следующих инвестиционных проектов:</w:t>
      </w:r>
    </w:p>
    <w:p>
      <w:pPr>
        <w:pStyle w:val="afd"/>
        <w:spacing w:before="0" w:beforeAutospacing="0" w:after="0" w:afterAutospacing="0"/>
        <w:ind w:firstLine="850"/>
        <w:jc w:val="both"/>
        <w:rPr>
          <w:sz w:val="28"/>
          <w:szCs w:val="28"/>
          <w:highlight w:val="white"/>
        </w:rPr>
      </w:pPr>
      <w:r>
        <w:rPr>
          <w:sz w:val="28"/>
          <w:szCs w:val="28"/>
          <w:highlight w:val="white"/>
        </w:rPr>
        <w:t xml:space="preserve">акционерное общество (далее – АО) «Уральская Сталь» – проект «Строительство прокатного цеха по производству бесшовных труб» (100,0 млрд. рублей, завершение работ и ввод в эксплуатацию запланированы на 2032 год);</w:t>
      </w:r>
    </w:p>
    <w:p>
      <w:pPr>
        <w:pStyle w:val="afd"/>
        <w:spacing w:before="0" w:beforeAutospacing="0" w:after="0" w:afterAutospacing="0"/>
        <w:ind w:firstLine="850"/>
        <w:jc w:val="both"/>
        <w:rPr>
          <w:sz w:val="28"/>
          <w:szCs w:val="28"/>
          <w:highlight w:val="white"/>
        </w:rPr>
      </w:pPr>
      <w:r>
        <w:rPr>
          <w:sz w:val="28"/>
          <w:szCs w:val="28"/>
          <w:highlight w:val="white"/>
        </w:rPr>
        <w:t xml:space="preserve">общество с ограниченной ответственностью (далее – ООО) «</w:t>
      </w:r>
      <w:r>
        <w:rPr>
          <w:sz w:val="28"/>
          <w:szCs w:val="28"/>
          <w:highlight w:val="white"/>
        </w:rPr>
        <w:t xml:space="preserve">Газпромнефть</w:t>
      </w:r>
      <w:r>
        <w:rPr>
          <w:sz w:val="28"/>
          <w:szCs w:val="28"/>
          <w:highlight w:val="white"/>
        </w:rPr>
        <w:t xml:space="preserve"> Оренбург» – проект «Проведение геолого-технических мероприятий на месторождениях ООО «</w:t>
      </w:r>
      <w:r>
        <w:rPr>
          <w:sz w:val="28"/>
          <w:szCs w:val="28"/>
          <w:highlight w:val="white"/>
        </w:rPr>
        <w:t xml:space="preserve">Газпромнефть</w:t>
      </w:r>
      <w:r>
        <w:rPr>
          <w:sz w:val="28"/>
          <w:szCs w:val="28"/>
          <w:highlight w:val="white"/>
        </w:rPr>
        <w:t xml:space="preserve"> Оренбург», направленных на сохранение темпов развития компании в Оренбургской области» (74,3 млрд. рублей, планируемый срок ввода в эксплуатацию – 2025 год);</w:t>
      </w:r>
    </w:p>
    <w:p>
      <w:pPr>
        <w:pStyle w:val="afd"/>
        <w:spacing w:before="0" w:beforeAutospacing="0" w:after="0" w:afterAutospacing="0"/>
        <w:ind w:firstLine="850"/>
        <w:jc w:val="both"/>
        <w:rPr>
          <w:sz w:val="28"/>
          <w:szCs w:val="28"/>
          <w:highlight w:val="white"/>
        </w:rPr>
      </w:pPr>
      <w:r>
        <w:rPr>
          <w:sz w:val="28"/>
          <w:szCs w:val="28"/>
          <w:highlight w:val="white"/>
        </w:rPr>
        <w:t xml:space="preserve">публичное акционерное общество «Гайский ГОК» – проект «Увеличение производительности до 9 млн. тонн руды в год» и проект «Вскрытие и разработка подземным способом остаточных запасов руды в отметке горизонта </w:t>
      </w:r>
      <w:r>
        <w:rPr>
          <w:sz w:val="28"/>
          <w:szCs w:val="28"/>
          <w:highlight w:val="white"/>
        </w:rPr>
        <w:br/>
        <w:t xml:space="preserve">1320–1630 м» (общий объем инвестиций составит 37,9 млрд. рублей, планируемый срок ввода в эксплуатацию – 2027–2028 годы);</w:t>
      </w:r>
    </w:p>
    <w:p>
      <w:pPr>
        <w:pStyle w:val="afd"/>
        <w:spacing w:before="0" w:beforeAutospacing="0" w:after="0" w:afterAutospacing="0"/>
        <w:ind w:firstLine="850"/>
        <w:jc w:val="both"/>
        <w:rPr>
          <w:sz w:val="28"/>
          <w:szCs w:val="28"/>
          <w:highlight w:val="white"/>
        </w:rPr>
      </w:pPr>
      <w:r>
        <w:rPr>
          <w:sz w:val="28"/>
          <w:szCs w:val="28"/>
          <w:highlight w:val="white"/>
        </w:rPr>
        <w:t xml:space="preserve">ООО «Шелковый путь Логистика» – проект «Строительство транспортно-логистического терминала «Шелковый путь» в г. Оренбурге» (12,2 млрд. рублей, планируемый срок ввода в эксплуатацию – 2029 год);</w:t>
      </w:r>
    </w:p>
    <w:p>
      <w:pPr>
        <w:pStyle w:val="afd"/>
        <w:spacing w:before="0" w:beforeAutospacing="0" w:after="0" w:afterAutospacing="0"/>
        <w:ind w:firstLine="850"/>
        <w:jc w:val="both"/>
        <w:rPr>
          <w:sz w:val="28"/>
          <w:szCs w:val="28"/>
          <w:highlight w:val="white"/>
        </w:rPr>
      </w:pPr>
      <w:r>
        <w:rPr>
          <w:sz w:val="28"/>
          <w:szCs w:val="28"/>
          <w:highlight w:val="white"/>
        </w:rPr>
        <w:t xml:space="preserve">ООО «Южно-Уральская Энергетическая Компания» – проект «Создание объекта цифровой обработки данных» (7,9 млрд.</w:t>
      </w:r>
      <w:r>
        <w:rPr>
          <w:sz w:val="28"/>
          <w:szCs w:val="28"/>
          <w:highlight w:val="white"/>
        </w:rPr>
        <w:t xml:space="preserve"> </w:t>
      </w:r>
      <w:r>
        <w:rPr>
          <w:sz w:val="28"/>
          <w:szCs w:val="28"/>
          <w:highlight w:val="white"/>
        </w:rPr>
        <w:t xml:space="preserve">руб., планируемый срок ввода в эксплуатацию – 2029 год);</w:t>
      </w:r>
    </w:p>
    <w:p>
      <w:pPr>
        <w:pStyle w:val="afd"/>
        <w:spacing w:before="0" w:beforeAutospacing="0" w:after="0" w:afterAutospacing="0"/>
        <w:ind w:firstLine="850"/>
        <w:jc w:val="both"/>
        <w:rPr>
          <w:sz w:val="28"/>
          <w:szCs w:val="28"/>
          <w:highlight w:val="white"/>
        </w:rPr>
      </w:pPr>
      <w:r>
        <w:rPr>
          <w:sz w:val="28"/>
          <w:szCs w:val="28"/>
          <w:highlight w:val="white"/>
        </w:rPr>
        <w:t xml:space="preserve">ООО «ВБ Оренбург» – проект «Строительство распределительного центра на территории Оренбургской области» (9,4 млрд. рублей, планируемый срок ввода в эксплуатацию – 2027 год);</w:t>
      </w:r>
    </w:p>
    <w:p>
      <w:pPr>
        <w:pStyle w:val="afd"/>
        <w:spacing w:before="0" w:beforeAutospacing="0" w:after="0" w:afterAutospacing="0"/>
        <w:ind w:firstLine="850"/>
        <w:jc w:val="both"/>
        <w:rPr>
          <w:sz w:val="28"/>
          <w:szCs w:val="28"/>
          <w:highlight w:val="white"/>
        </w:rPr>
      </w:pPr>
      <w:r>
        <w:rPr>
          <w:sz w:val="28"/>
          <w:szCs w:val="28"/>
          <w:highlight w:val="white"/>
        </w:rPr>
        <w:t xml:space="preserve">АО «Аэропорт Оренбург» – проект «Реконструкция </w:t>
      </w:r>
      <w:r>
        <w:rPr>
          <w:sz w:val="28"/>
          <w:szCs w:val="28"/>
          <w:highlight w:val="white"/>
        </w:rPr>
        <w:t xml:space="preserve">аэропорта»   </w:t>
      </w:r>
      <w:r>
        <w:rPr>
          <w:sz w:val="28"/>
          <w:szCs w:val="28"/>
          <w:highlight w:val="white"/>
        </w:rPr>
        <w:t xml:space="preserve">                  (7,0 млрд. рублей, срок ввода в эксплуатацию – 2026 год);</w:t>
      </w:r>
    </w:p>
    <w:p>
      <w:pPr>
        <w:pStyle w:val="afd"/>
        <w:spacing w:before="0" w:beforeAutospacing="0" w:after="0" w:afterAutospacing="0"/>
        <w:ind w:firstLine="850"/>
        <w:jc w:val="both"/>
        <w:rPr>
          <w:sz w:val="28"/>
          <w:szCs w:val="28"/>
          <w:highlight w:val="white"/>
        </w:rPr>
      </w:pPr>
      <w:r>
        <w:rPr>
          <w:sz w:val="28"/>
          <w:szCs w:val="28"/>
          <w:highlight w:val="white"/>
        </w:rPr>
        <w:t xml:space="preserve">ООО «Распределительный центр «Новосибирск» – проект «Строительство универсального склада класса А для хранения продовольственных и непродовольственных товаров» (6,2 млрд. рублей, срок ввода в эксплуатацию –                   2026 год);</w:t>
      </w:r>
    </w:p>
    <w:p>
      <w:pPr>
        <w:pStyle w:val="afd"/>
        <w:spacing w:before="0" w:beforeAutospacing="0" w:after="0" w:afterAutospacing="0"/>
        <w:ind w:firstLine="850"/>
        <w:jc w:val="both"/>
        <w:rPr>
          <w:sz w:val="28"/>
          <w:szCs w:val="28"/>
          <w:highlight w:val="white"/>
        </w:rPr>
      </w:pPr>
      <w:r>
        <w:rPr>
          <w:sz w:val="28"/>
          <w:szCs w:val="28"/>
          <w:highlight w:val="white"/>
        </w:rPr>
        <w:t xml:space="preserve">ООО «Новотроицкий содовый завод» – проект «Строительство завода по производству соды и гипса в Новотроицке» (5,2 млрд. рублей, планируемый срок модернизации – 2027 год);</w:t>
      </w:r>
    </w:p>
    <w:p>
      <w:pPr>
        <w:pStyle w:val="afd"/>
        <w:spacing w:before="0" w:beforeAutospacing="0" w:after="0" w:afterAutospacing="0"/>
        <w:ind w:firstLine="850"/>
        <w:jc w:val="both"/>
        <w:rPr>
          <w:sz w:val="28"/>
          <w:szCs w:val="28"/>
          <w:highlight w:val="white"/>
        </w:rPr>
      </w:pPr>
      <w:r>
        <w:rPr>
          <w:sz w:val="28"/>
          <w:szCs w:val="28"/>
          <w:highlight w:val="white"/>
        </w:rPr>
        <w:t xml:space="preserve">ООО «СМК Орск» – проекты «Организация цеха по производству сэндвич-панелей» </w:t>
      </w:r>
      <w:r>
        <w:rPr>
          <w:sz w:val="28"/>
          <w:szCs w:val="28"/>
          <w:highlight w:val="white"/>
        </w:rPr>
        <w:t xml:space="preserve">и  «</w:t>
      </w:r>
      <w:r>
        <w:rPr>
          <w:sz w:val="28"/>
          <w:szCs w:val="28"/>
          <w:highlight w:val="white"/>
        </w:rPr>
        <w:t xml:space="preserve">Развитие хоккея в Оренбургской области» (5 млрд. рублей, планируемый срок ввода в эксплуатацию – 2028 год);</w:t>
      </w:r>
    </w:p>
    <w:p>
      <w:pPr>
        <w:pStyle w:val="afd"/>
        <w:spacing w:before="0" w:beforeAutospacing="0" w:after="0" w:afterAutospacing="0"/>
        <w:ind w:firstLine="850"/>
        <w:jc w:val="both"/>
        <w:rPr>
          <w:sz w:val="28"/>
          <w:szCs w:val="28"/>
          <w:highlight w:val="white"/>
        </w:rPr>
      </w:pPr>
      <w:r>
        <w:rPr>
          <w:sz w:val="28"/>
          <w:szCs w:val="28"/>
          <w:highlight w:val="white"/>
        </w:rPr>
        <w:t xml:space="preserve">ООО «Оренбургский </w:t>
      </w:r>
      <w:r>
        <w:rPr>
          <w:sz w:val="28"/>
          <w:szCs w:val="28"/>
          <w:highlight w:val="white"/>
        </w:rPr>
        <w:t xml:space="preserve">пропант</w:t>
      </w:r>
      <w:r>
        <w:rPr>
          <w:sz w:val="28"/>
          <w:szCs w:val="28"/>
          <w:highlight w:val="white"/>
        </w:rPr>
        <w:t xml:space="preserve">» – проект «Производство </w:t>
      </w:r>
      <w:r>
        <w:rPr>
          <w:sz w:val="28"/>
          <w:szCs w:val="28"/>
          <w:highlight w:val="white"/>
        </w:rPr>
        <w:t xml:space="preserve">пропантов</w:t>
      </w:r>
      <w:r>
        <w:rPr>
          <w:sz w:val="28"/>
          <w:szCs w:val="28"/>
          <w:highlight w:val="white"/>
        </w:rPr>
        <w:t xml:space="preserve"> в Новотроицке» (4,1 млрд. рублей, планируемый срок завершения модернизации –                  2026 год); </w:t>
      </w:r>
    </w:p>
    <w:p>
      <w:pPr>
        <w:pStyle w:val="afd"/>
        <w:spacing w:before="0" w:beforeAutospacing="0" w:after="0" w:afterAutospacing="0"/>
        <w:ind w:firstLine="850"/>
        <w:jc w:val="both"/>
        <w:rPr>
          <w:sz w:val="28"/>
          <w:szCs w:val="28"/>
          <w:highlight w:val="white"/>
        </w:rPr>
      </w:pPr>
      <w:r>
        <w:rPr>
          <w:sz w:val="28"/>
          <w:szCs w:val="28"/>
          <w:highlight w:val="white"/>
        </w:rPr>
        <w:t xml:space="preserve">АО «</w:t>
      </w:r>
      <w:r>
        <w:rPr>
          <w:sz w:val="28"/>
          <w:szCs w:val="28"/>
          <w:highlight w:val="white"/>
        </w:rPr>
        <w:t xml:space="preserve">Интер</w:t>
      </w:r>
      <w:r>
        <w:rPr>
          <w:sz w:val="28"/>
          <w:szCs w:val="28"/>
          <w:highlight w:val="white"/>
        </w:rPr>
        <w:t xml:space="preserve"> РАО – </w:t>
      </w:r>
      <w:r>
        <w:rPr>
          <w:sz w:val="28"/>
          <w:szCs w:val="28"/>
          <w:highlight w:val="white"/>
        </w:rPr>
        <w:t xml:space="preserve">Электрогенерация</w:t>
      </w:r>
      <w:r>
        <w:rPr>
          <w:sz w:val="28"/>
          <w:szCs w:val="28"/>
          <w:highlight w:val="white"/>
        </w:rPr>
        <w:t xml:space="preserve">» – проект «Модернизация энергоблока № 3 филиала «</w:t>
      </w:r>
      <w:r>
        <w:rPr>
          <w:sz w:val="28"/>
          <w:szCs w:val="28"/>
          <w:highlight w:val="white"/>
        </w:rPr>
        <w:t xml:space="preserve">Ириклинская</w:t>
      </w:r>
      <w:r>
        <w:rPr>
          <w:sz w:val="28"/>
          <w:szCs w:val="28"/>
          <w:highlight w:val="white"/>
        </w:rPr>
        <w:t xml:space="preserve"> ГРЭС» (3,5 млрд. рублей, срок ввода в эксплуатацию – 2026 год).</w:t>
      </w:r>
    </w:p>
    <w:p>
      <w:pPr>
        <w:pStyle w:val="afd"/>
        <w:spacing w:before="0" w:beforeAutospacing="0" w:after="0" w:afterAutospacing="0"/>
        <w:ind w:firstLine="850"/>
        <w:jc w:val="both"/>
        <w:rPr>
          <w:sz w:val="28"/>
          <w:szCs w:val="28"/>
          <w:highlight w:val="white"/>
        </w:rPr>
      </w:pPr>
      <w:r>
        <w:rPr>
          <w:sz w:val="28"/>
          <w:szCs w:val="28"/>
          <w:highlight w:val="white"/>
        </w:rPr>
        <w:t xml:space="preserve">На территории Оренбургской области функционируют две территории опережающего развития (далее – ТОР) – в городах Новотроицке и Ясном, в реестр резидентов которых включена 21 компания. На 1 июля 2025 года резидентами ТОР создано 3815 новых рабочих мест, привлечено 19,4 млрд. рублей инвестиций.</w:t>
      </w:r>
    </w:p>
    <w:p>
      <w:pPr>
        <w:pStyle w:val="afd"/>
        <w:spacing w:before="0" w:beforeAutospacing="0" w:after="0" w:afterAutospacing="0"/>
        <w:ind w:firstLine="850"/>
        <w:jc w:val="both"/>
        <w:rPr>
          <w:sz w:val="28"/>
          <w:szCs w:val="28"/>
          <w:highlight w:val="white"/>
        </w:rPr>
      </w:pPr>
      <w:r>
        <w:rPr>
          <w:sz w:val="28"/>
          <w:szCs w:val="28"/>
          <w:highlight w:val="white"/>
        </w:rPr>
        <w:t xml:space="preserve">Продолжается работа по строительству инфраструктуры особой экономической зоны промышленно-производственного типа «</w:t>
      </w:r>
      <w:r>
        <w:rPr>
          <w:sz w:val="28"/>
          <w:szCs w:val="28"/>
          <w:highlight w:val="white"/>
        </w:rPr>
        <w:t xml:space="preserve">Оренбуржье»   </w:t>
      </w:r>
      <w:r>
        <w:rPr>
          <w:sz w:val="28"/>
          <w:szCs w:val="28"/>
          <w:highlight w:val="white"/>
        </w:rPr>
        <w:t xml:space="preserve">              (далее – ОЭЗ) на инвестиционных площадках в городах Оренбурге и Орске.</w:t>
      </w:r>
    </w:p>
    <w:p>
      <w:pPr>
        <w:pStyle w:val="afd"/>
        <w:spacing w:before="0" w:beforeAutospacing="0" w:after="0" w:afterAutospacing="0"/>
        <w:ind w:firstLine="850"/>
        <w:jc w:val="both"/>
        <w:rPr>
          <w:sz w:val="28"/>
          <w:szCs w:val="28"/>
          <w:highlight w:val="white"/>
        </w:rPr>
      </w:pPr>
      <w:r>
        <w:rPr>
          <w:sz w:val="28"/>
          <w:szCs w:val="28"/>
          <w:highlight w:val="white"/>
        </w:rPr>
        <w:t xml:space="preserve">На 1 октября 2025 года резидентами ОЭЗ являются 23 компании, которые планируют вложить в проекты не менее 63 млрд. рублей инвестиций и создать более 16 тыс. новых рабочих места.</w:t>
      </w:r>
    </w:p>
    <w:p>
      <w:pPr>
        <w:ind w:firstLine="851"/>
        <w:jc w:val="both"/>
        <w:rPr>
          <w:sz w:val="28"/>
          <w:szCs w:val="28"/>
        </w:rPr>
      </w:pPr>
    </w:p>
    <w:p>
      <w:pPr>
        <w:widowControl w:val="off"/>
        <w:tabs>
          <w:tab w:val="left" w:pos="3562"/>
        </w:tabs>
        <w:ind w:firstLine="567"/>
        <w:jc w:val="center"/>
        <w:rPr>
          <w:bCs/>
          <w:sz w:val="28"/>
          <w:szCs w:val="28"/>
        </w:rPr>
      </w:pPr>
      <w:r>
        <w:rPr>
          <w:bCs/>
          <w:sz w:val="28"/>
          <w:szCs w:val="28"/>
        </w:rPr>
        <w:t xml:space="preserve">Строительство</w:t>
      </w:r>
    </w:p>
    <w:p>
      <w:pPr>
        <w:widowControl w:val="off"/>
        <w:tabs>
          <w:tab w:val="left" w:pos="3562"/>
        </w:tabs>
        <w:ind w:firstLine="567"/>
        <w:jc w:val="center"/>
        <w:rPr>
          <w:bCs/>
          <w:sz w:val="14"/>
          <w:szCs w:val="28"/>
        </w:rPr>
      </w:pPr>
    </w:p>
    <w:p>
      <w:pPr>
        <w:pStyle w:val="33"/>
        <w:jc w:val="center"/>
        <w:rPr>
          <w:b/>
          <w:bCs/>
          <w:sz w:val="2"/>
          <w:szCs w:val="28"/>
        </w:rPr>
      </w:pPr>
    </w:p>
    <w:p>
      <w:pPr>
        <w:pStyle w:val="33"/>
        <w:jc w:val="center"/>
        <w:rPr>
          <w:b/>
          <w:bCs/>
          <w:sz w:val="2"/>
          <w:szCs w:val="28"/>
        </w:rPr>
      </w:pPr>
    </w:p>
    <w:p>
      <w:pPr>
        <w:pStyle w:val="33"/>
        <w:jc w:val="center"/>
        <w:rPr>
          <w:b/>
          <w:bCs/>
          <w:sz w:val="2"/>
          <w:szCs w:val="28"/>
        </w:rPr>
      </w:pPr>
    </w:p>
    <w:p>
      <w:pPr>
        <w:pStyle w:val="33"/>
        <w:jc w:val="center"/>
        <w:rPr>
          <w:b/>
          <w:bCs/>
          <w:sz w:val="2"/>
          <w:szCs w:val="28"/>
        </w:rPr>
      </w:pPr>
    </w:p>
    <w:p>
      <w:pPr>
        <w:pStyle w:val="afd"/>
        <w:spacing w:before="0" w:beforeAutospacing="0" w:after="0" w:afterAutospacing="0"/>
        <w:ind w:firstLine="708"/>
        <w:jc w:val="both"/>
        <w:rPr>
          <w:bCs/>
          <w:sz w:val="28"/>
          <w:szCs w:val="28"/>
        </w:rPr>
      </w:pPr>
      <w:r>
        <w:rPr>
          <w:sz w:val="28"/>
          <w:szCs w:val="28"/>
        </w:rPr>
        <w:t xml:space="preserve">Объем работ, выполненных по виду экономической деятельности «Строительство»</w:t>
      </w:r>
      <w:r>
        <w:rPr>
          <w:bCs/>
          <w:sz w:val="28"/>
          <w:szCs w:val="28"/>
        </w:rPr>
        <w:t xml:space="preserve">, </w:t>
      </w:r>
      <w:r>
        <w:rPr>
          <w:sz w:val="28"/>
          <w:szCs w:val="28"/>
        </w:rPr>
        <w:t xml:space="preserve">в 2025 году составит, по оценке, 151 686,19 млн. рублей. В прогнозном периоде до 2028 года ожидаются стабильные темпы роста данного показателя.</w:t>
      </w:r>
    </w:p>
    <w:p>
      <w:pPr>
        <w:ind w:firstLine="708"/>
        <w:jc w:val="both"/>
        <w:rPr>
          <w:spacing w:val="-4"/>
          <w:sz w:val="28"/>
          <w:szCs w:val="28"/>
        </w:rPr>
      </w:pPr>
      <w:r>
        <w:rPr>
          <w:spacing w:val="-4"/>
          <w:sz w:val="28"/>
          <w:szCs w:val="28"/>
        </w:rPr>
        <w:t xml:space="preserve">План по вводу жилья на 2025 год составляет 1184 тыс. кв. метров                 </w:t>
      </w:r>
      <w:r>
        <w:rPr>
          <w:spacing w:val="-4"/>
          <w:sz w:val="28"/>
          <w:szCs w:val="28"/>
        </w:rPr>
        <w:t xml:space="preserve">   (</w:t>
      </w:r>
      <w:r>
        <w:rPr>
          <w:spacing w:val="-4"/>
          <w:sz w:val="28"/>
          <w:szCs w:val="28"/>
        </w:rPr>
        <w:t xml:space="preserve">99,6 процента к уровню 2024 года).</w:t>
      </w:r>
    </w:p>
    <w:p>
      <w:pPr>
        <w:ind w:firstLine="708"/>
        <w:jc w:val="both"/>
        <w:rPr>
          <w:sz w:val="28"/>
          <w:szCs w:val="28"/>
        </w:rPr>
      </w:pPr>
      <w:r>
        <w:rPr>
          <w:bCs/>
          <w:sz w:val="28"/>
          <w:szCs w:val="28"/>
        </w:rPr>
        <w:t xml:space="preserve">В случае развития экономики по </w:t>
      </w:r>
      <w:r>
        <w:rPr>
          <w:sz w:val="28"/>
          <w:szCs w:val="28"/>
        </w:rPr>
        <w:t xml:space="preserve">базовому варианту прогноза в                      2028 году в Оренбургской области запланировано сдать в эксплуатацию                1534 тыс. кв. метров жилья, а за период с 2026 по 2028 год – 4132 тыс. кв. метров.</w:t>
      </w:r>
    </w:p>
    <w:p>
      <w:pPr>
        <w:ind w:firstLine="708"/>
        <w:jc w:val="both"/>
        <w:rPr>
          <w:sz w:val="28"/>
          <w:szCs w:val="28"/>
        </w:rPr>
      </w:pPr>
      <w:r>
        <w:rPr>
          <w:sz w:val="28"/>
          <w:szCs w:val="28"/>
        </w:rPr>
        <w:t xml:space="preserve">Достижение вышеуказанных показателей напрямую зависит от следующих факторов:</w:t>
      </w:r>
    </w:p>
    <w:p>
      <w:pPr>
        <w:ind w:firstLine="708"/>
        <w:jc w:val="both"/>
        <w:rPr>
          <w:sz w:val="28"/>
          <w:szCs w:val="28"/>
        </w:rPr>
      </w:pPr>
      <w:r>
        <w:rPr>
          <w:sz w:val="28"/>
          <w:szCs w:val="28"/>
        </w:rPr>
        <w:t xml:space="preserve">платежеспособность населения;</w:t>
      </w:r>
    </w:p>
    <w:p>
      <w:pPr>
        <w:ind w:firstLine="708"/>
        <w:jc w:val="both"/>
        <w:rPr>
          <w:sz w:val="28"/>
          <w:szCs w:val="28"/>
        </w:rPr>
      </w:pPr>
      <w:r>
        <w:rPr>
          <w:sz w:val="28"/>
          <w:szCs w:val="28"/>
        </w:rPr>
        <w:t xml:space="preserve">адаптированность</w:t>
      </w:r>
      <w:r>
        <w:rPr>
          <w:sz w:val="28"/>
          <w:szCs w:val="28"/>
        </w:rPr>
        <w:t xml:space="preserve"> строительного сообщества к изменениям в законодательстве Российской Федерации о долевом строительстве и отдельных законодательных актах;</w:t>
      </w:r>
    </w:p>
    <w:p>
      <w:pPr>
        <w:ind w:firstLine="708"/>
        <w:jc w:val="both"/>
        <w:rPr>
          <w:sz w:val="28"/>
          <w:szCs w:val="28"/>
        </w:rPr>
      </w:pPr>
      <w:r>
        <w:rPr>
          <w:sz w:val="28"/>
          <w:szCs w:val="28"/>
        </w:rPr>
        <w:t xml:space="preserve">условия сложившейся экономической ситуации в стране из-за внешнего экономического давления.</w:t>
      </w:r>
    </w:p>
    <w:p>
      <w:pPr>
        <w:ind w:firstLine="708"/>
        <w:jc w:val="both"/>
        <w:rPr>
          <w:bCs/>
          <w:sz w:val="20"/>
          <w:szCs w:val="28"/>
        </w:rPr>
      </w:pPr>
    </w:p>
    <w:p>
      <w:pPr>
        <w:jc w:val="center"/>
        <w:rPr>
          <w:sz w:val="28"/>
          <w:szCs w:val="28"/>
        </w:rPr>
      </w:pPr>
      <w:r>
        <w:rPr>
          <w:sz w:val="28"/>
          <w:szCs w:val="28"/>
        </w:rPr>
        <w:t xml:space="preserve">Малое и среднее предпринимательство</w:t>
      </w:r>
    </w:p>
    <w:p>
      <w:pPr>
        <w:jc w:val="center"/>
        <w:rPr>
          <w:sz w:val="20"/>
          <w:szCs w:val="28"/>
        </w:rPr>
      </w:pPr>
    </w:p>
    <w:p>
      <w:pPr>
        <w:pStyle w:val="afd"/>
        <w:spacing w:before="0" w:beforeAutospacing="0" w:after="0" w:afterAutospacing="0"/>
        <w:ind w:firstLine="709"/>
        <w:jc w:val="both"/>
        <w:rPr>
          <w:color w:val="ff0000"/>
          <w:sz w:val="28"/>
          <w:szCs w:val="28"/>
          <w:highlight w:val="white"/>
        </w:rPr>
      </w:pPr>
      <w:r>
        <w:rPr>
          <w:sz w:val="28"/>
          <w:szCs w:val="28"/>
        </w:rPr>
        <w:t xml:space="preserve">В</w:t>
      </w:r>
      <w:r>
        <w:rPr>
          <w:sz w:val="28"/>
          <w:szCs w:val="28"/>
          <w:highlight w:val="white"/>
        </w:rPr>
        <w:t xml:space="preserve"> рамках государственной программы «Экономическое развитие Оренбургской области» реализуется комплекс мер, направленных на развитие малого и среднего бизнеса как важнейшего ресурса экономического развития и социальной стабильности региона.  </w:t>
      </w:r>
    </w:p>
    <w:p>
      <w:pPr>
        <w:pStyle w:val="afd"/>
        <w:spacing w:before="0" w:beforeAutospacing="0" w:after="0" w:afterAutospacing="0"/>
        <w:ind w:firstLine="709"/>
        <w:jc w:val="both"/>
        <w:rPr>
          <w:color w:val="000000" w:themeColor="text1"/>
          <w:sz w:val="28"/>
          <w:szCs w:val="28"/>
          <w:highlight w:val="white"/>
        </w:rPr>
      </w:pPr>
      <w:r>
        <w:rPr>
          <w:color w:val="000000" w:themeColor="text1"/>
          <w:sz w:val="28"/>
          <w:szCs w:val="28"/>
          <w:highlight w:val="white"/>
        </w:rPr>
        <w:t xml:space="preserve">По оценке, количество малых и средних предприятий в 2025 году составит 16281 единицу. При этом среднесписочная численность работников на данных предприятиях в 2025 году, по оценке, составит 103,52 тыс. человек (103,0 процента к уровню 2024 года). </w:t>
      </w:r>
    </w:p>
    <w:p>
      <w:pPr>
        <w:pStyle w:val="afd"/>
        <w:spacing w:before="0" w:beforeAutospacing="0" w:after="0" w:afterAutospacing="0"/>
        <w:ind w:firstLine="709"/>
        <w:jc w:val="both"/>
        <w:rPr>
          <w:color w:val="000000" w:themeColor="text1"/>
          <w:highlight w:val="white"/>
        </w:rPr>
      </w:pPr>
      <w:r>
        <w:rPr>
          <w:sz w:val="28"/>
          <w:szCs w:val="28"/>
          <w:highlight w:val="white"/>
        </w:rPr>
        <w:t xml:space="preserve">Оборот малых и средних предприятий в 2025 году, по о</w:t>
      </w:r>
      <w:r>
        <w:rPr>
          <w:color w:val="000000" w:themeColor="text1"/>
          <w:sz w:val="28"/>
          <w:szCs w:val="28"/>
          <w:highlight w:val="white"/>
        </w:rPr>
        <w:t xml:space="preserve">ценке, увеличится на 12,2 процента по отношению к уровню 2024 года и составит 730,51 млрд. рублей. </w:t>
      </w:r>
    </w:p>
    <w:p>
      <w:pPr>
        <w:ind w:left="131" w:right="129" w:firstLine="578"/>
        <w:jc w:val="both"/>
        <w:rPr>
          <w:b/>
          <w:color w:val="000000" w:themeColor="text1"/>
          <w:sz w:val="28"/>
          <w:szCs w:val="28"/>
          <w:highlight w:val="white"/>
        </w:rPr>
      </w:pPr>
      <w:r>
        <w:rPr>
          <w:sz w:val="28"/>
          <w:szCs w:val="28"/>
          <w:highlight w:val="white"/>
        </w:rPr>
        <w:t xml:space="preserve">Для решения задач, поставленных в рамках реализации национального проекта </w:t>
      </w:r>
      <w:r>
        <w:rPr>
          <w:sz w:val="28"/>
          <w:szCs w:val="28"/>
          <w:highlight w:val="white"/>
          <w:lang w:bidi="ru-RU"/>
        </w:rPr>
        <w:t xml:space="preserve">«Эффективная и конкурентная экономика»</w:t>
      </w:r>
      <w:r>
        <w:rPr>
          <w:sz w:val="28"/>
          <w:szCs w:val="28"/>
          <w:highlight w:val="white"/>
        </w:rPr>
        <w:t xml:space="preserve">, с 2025 года реализуется региональный проект</w:t>
      </w:r>
      <w:r>
        <w:rPr>
          <w:sz w:val="28"/>
          <w:szCs w:val="28"/>
          <w:highlight w:val="white"/>
        </w:rPr>
        <w:t xml:space="preserve"> </w:t>
      </w:r>
      <w:r>
        <w:rPr>
          <w:sz w:val="28"/>
          <w:szCs w:val="28"/>
          <w:highlight w:val="white"/>
        </w:rPr>
        <w:t xml:space="preserve">«Малое и среднее предпринимательство и поддержка индивидуальной предпринимательской инициативы (Оренбургская область)».</w:t>
      </w:r>
    </w:p>
    <w:p>
      <w:pPr>
        <w:ind w:left="131" w:right="129" w:firstLine="578"/>
        <w:jc w:val="both"/>
        <w:rPr>
          <w:sz w:val="28"/>
          <w:szCs w:val="28"/>
          <w:highlight w:val="white"/>
        </w:rPr>
      </w:pPr>
      <w:r>
        <w:rPr>
          <w:sz w:val="28"/>
          <w:szCs w:val="28"/>
          <w:highlight w:val="white"/>
        </w:rPr>
        <w:t xml:space="preserve">В результате реализации комплекса мероприятий в рамках региональных проектов:</w:t>
      </w:r>
    </w:p>
    <w:p>
      <w:pPr>
        <w:pStyle w:val="afd"/>
        <w:shd w:val="clear" w:color="auto" w:fill="ffffff"/>
        <w:spacing w:before="0" w:beforeAutospacing="0" w:after="0" w:afterAutospacing="0"/>
        <w:ind w:firstLine="708"/>
        <w:jc w:val="both"/>
        <w:rPr>
          <w:color w:val="000000" w:themeColor="text1"/>
          <w:highlight w:val="white"/>
        </w:rPr>
      </w:pPr>
      <w:r>
        <w:rPr>
          <w:color w:val="000000" w:themeColor="text1"/>
          <w:sz w:val="28"/>
          <w:szCs w:val="28"/>
          <w:highlight w:val="white"/>
        </w:rPr>
        <w:t xml:space="preserve">количество малых и средних предприятий в 2025 году составит, по оценке, 16281 единицу (рост по сравнению с 2024 годом на 1,41 процента) и к                     2028 году по базовому варианту прогноза достигнет 17954 единиц;</w:t>
      </w:r>
    </w:p>
    <w:p>
      <w:pPr>
        <w:pStyle w:val="afd"/>
        <w:shd w:val="clear" w:color="auto" w:fill="ffffff"/>
        <w:spacing w:before="0" w:beforeAutospacing="0" w:after="0" w:afterAutospacing="0"/>
        <w:ind w:firstLine="708"/>
        <w:jc w:val="both"/>
        <w:rPr>
          <w:color w:val="000000" w:themeColor="text1"/>
          <w:highlight w:val="white"/>
        </w:rPr>
      </w:pPr>
      <w:r>
        <w:rPr>
          <w:color w:val="000000" w:themeColor="text1"/>
          <w:sz w:val="28"/>
          <w:szCs w:val="28"/>
          <w:highlight w:val="white"/>
        </w:rPr>
        <w:t xml:space="preserve">оборот малых и средних предприятий по всем видам деятельности увеличится на 79,</w:t>
      </w:r>
      <w:r>
        <w:rPr>
          <w:color w:val="000000" w:themeColor="text1"/>
          <w:sz w:val="28"/>
          <w:szCs w:val="28"/>
          <w:highlight w:val="white"/>
        </w:rPr>
        <w:t xml:space="preserve">51  млрд.</w:t>
      </w:r>
      <w:r>
        <w:rPr>
          <w:color w:val="000000" w:themeColor="text1"/>
          <w:sz w:val="28"/>
          <w:szCs w:val="28"/>
          <w:highlight w:val="white"/>
        </w:rPr>
        <w:t xml:space="preserve"> рублей в 2025 году по сравнению с 2024 годом, по оценке, до 869,91 млрд. рублей в 2028 году по базовому варианту прогноза (увеличение на 19,1 процента, или на 139,39 млрд. рублей, по сравнению с оценкой 2025 года);</w:t>
      </w:r>
    </w:p>
    <w:p>
      <w:pPr>
        <w:pStyle w:val="afd"/>
        <w:shd w:val="clear" w:color="auto" w:fill="ffffff"/>
        <w:spacing w:before="0" w:beforeAutospacing="0" w:after="0" w:afterAutospacing="0"/>
        <w:ind w:firstLine="708"/>
        <w:jc w:val="both"/>
        <w:rPr>
          <w:color w:val="000000" w:themeColor="text1"/>
          <w:sz w:val="28"/>
          <w:szCs w:val="28"/>
          <w:highlight w:val="white"/>
        </w:rPr>
      </w:pPr>
      <w:r>
        <w:rPr>
          <w:color w:val="000000" w:themeColor="text1"/>
          <w:sz w:val="28"/>
          <w:szCs w:val="28"/>
          <w:highlight w:val="white"/>
        </w:rPr>
        <w:t xml:space="preserve">среднесписочная численность работников малых и средних предприятий в 2025 году </w:t>
      </w:r>
      <w:r>
        <w:rPr>
          <w:sz w:val="28"/>
          <w:szCs w:val="28"/>
        </w:rPr>
        <w:t xml:space="preserve">составит, по оценке,</w:t>
      </w:r>
      <w:r>
        <w:rPr>
          <w:color w:val="000000" w:themeColor="text1"/>
          <w:sz w:val="28"/>
          <w:szCs w:val="28"/>
          <w:highlight w:val="white"/>
        </w:rPr>
        <w:t xml:space="preserve"> 103,52 тыс. человек, </w:t>
      </w:r>
      <w:r>
        <w:rPr>
          <w:color w:val="000000" w:themeColor="text1"/>
          <w:sz w:val="28"/>
          <w:szCs w:val="28"/>
          <w:highlight w:val="white"/>
        </w:rPr>
        <w:t xml:space="preserve">или  103</w:t>
      </w:r>
      <w:r>
        <w:rPr>
          <w:color w:val="000000" w:themeColor="text1"/>
          <w:sz w:val="28"/>
          <w:szCs w:val="28"/>
          <w:highlight w:val="white"/>
        </w:rPr>
        <w:t xml:space="preserve">,0 процента по отношению к уровню 2024 года, и к 2028 году достигнет</w:t>
      </w:r>
      <w:r>
        <w:rPr>
          <w:color w:val="000000" w:themeColor="text1"/>
          <w:sz w:val="28"/>
          <w:szCs w:val="28"/>
        </w:rPr>
        <w:t xml:space="preserve"> 105,39 тыс. человек по базовому варианту прогноза.</w:t>
      </w:r>
    </w:p>
    <w:p>
      <w:pPr>
        <w:pStyle w:val="afd"/>
        <w:shd w:val="clear" w:color="auto" w:fill="ffffff"/>
        <w:spacing w:before="0" w:beforeAutospacing="0" w:after="0" w:afterAutospacing="0"/>
        <w:ind w:firstLine="708"/>
        <w:jc w:val="both"/>
        <w:rPr>
          <w:color w:val="000000" w:themeColor="text1"/>
        </w:rPr>
      </w:pPr>
    </w:p>
    <w:p>
      <w:pPr>
        <w:spacing w:line="276" w:lineRule="auto"/>
        <w:jc w:val="center"/>
        <w:rPr>
          <w:bCs/>
          <w:sz w:val="28"/>
          <w:szCs w:val="28"/>
        </w:rPr>
      </w:pPr>
      <w:r>
        <w:rPr>
          <w:bCs/>
          <w:sz w:val="28"/>
          <w:szCs w:val="28"/>
        </w:rPr>
        <w:t xml:space="preserve">Потребительский рынок</w:t>
      </w:r>
    </w:p>
    <w:p>
      <w:pPr>
        <w:spacing w:line="276" w:lineRule="auto"/>
        <w:jc w:val="center"/>
        <w:rPr>
          <w:b/>
          <w:bCs/>
          <w:color w:val="ff0000"/>
          <w:sz w:val="28"/>
          <w:szCs w:val="28"/>
        </w:rPr>
      </w:pPr>
    </w:p>
    <w:p>
      <w:pPr>
        <w:pStyle w:val="afd"/>
        <w:tabs>
          <w:tab w:val="left" w:pos="660"/>
        </w:tabs>
        <w:spacing w:before="0" w:beforeAutospacing="0" w:after="0" w:afterAutospacing="0"/>
        <w:jc w:val="both"/>
      </w:pPr>
      <w:r>
        <w:rPr>
          <w:color w:val="ff0000"/>
          <w:sz w:val="28"/>
          <w:szCs w:val="28"/>
        </w:rPr>
        <w:tab/>
      </w:r>
      <w:r>
        <w:rPr>
          <w:sz w:val="28"/>
          <w:szCs w:val="28"/>
        </w:rPr>
        <w:t xml:space="preserve">Инфраструктура сферы торговли Оренбургской области представлена предприятиями разных форматов:</w:t>
      </w:r>
    </w:p>
    <w:p>
      <w:pPr>
        <w:pStyle w:val="afd"/>
        <w:spacing w:before="0" w:beforeAutospacing="0" w:after="0" w:afterAutospacing="0"/>
        <w:ind w:firstLine="708"/>
        <w:jc w:val="both"/>
      </w:pPr>
      <w:r>
        <w:rPr>
          <w:sz w:val="28"/>
          <w:szCs w:val="28"/>
        </w:rPr>
        <w:t xml:space="preserve">более 320 объектов оптовой торговли;</w:t>
      </w:r>
    </w:p>
    <w:p>
      <w:pPr>
        <w:pStyle w:val="afd"/>
        <w:spacing w:before="0" w:beforeAutospacing="0" w:after="0" w:afterAutospacing="0"/>
        <w:ind w:firstLine="709"/>
        <w:jc w:val="both"/>
      </w:pPr>
      <w:r>
        <w:rPr>
          <w:sz w:val="28"/>
          <w:szCs w:val="28"/>
        </w:rPr>
        <w:t xml:space="preserve">более 10000 стационарных торговых объектов;</w:t>
      </w:r>
    </w:p>
    <w:p>
      <w:pPr>
        <w:pStyle w:val="afd"/>
        <w:spacing w:before="0" w:beforeAutospacing="0" w:after="0" w:afterAutospacing="0"/>
        <w:ind w:firstLine="709"/>
        <w:jc w:val="both"/>
      </w:pPr>
      <w:r>
        <w:rPr>
          <w:sz w:val="28"/>
          <w:szCs w:val="28"/>
        </w:rPr>
        <w:t xml:space="preserve">около 3600 объектов нестационарной и мобильной торговли;</w:t>
      </w:r>
    </w:p>
    <w:p>
      <w:pPr>
        <w:pStyle w:val="afd"/>
        <w:spacing w:before="0" w:beforeAutospacing="0" w:after="0" w:afterAutospacing="0"/>
        <w:ind w:firstLine="720"/>
        <w:jc w:val="both"/>
      </w:pPr>
      <w:r>
        <w:rPr>
          <w:sz w:val="28"/>
          <w:szCs w:val="28"/>
        </w:rPr>
        <w:t xml:space="preserve">7 розничных рынков и 100 постоянно действующих ярмарочных площадок, располагающих 11,6 тыс. торговых мест.</w:t>
      </w:r>
    </w:p>
    <w:p>
      <w:pPr>
        <w:pStyle w:val="afd"/>
        <w:spacing w:before="0" w:beforeAutospacing="0" w:after="0" w:afterAutospacing="0"/>
        <w:ind w:firstLine="708"/>
        <w:jc w:val="both"/>
      </w:pPr>
      <w:r>
        <w:rPr>
          <w:sz w:val="28"/>
          <w:szCs w:val="28"/>
        </w:rPr>
        <w:t xml:space="preserve">Обеспеченность площадью торговых объектов в Оренбургской области: </w:t>
      </w:r>
    </w:p>
    <w:p>
      <w:pPr>
        <w:pStyle w:val="afd"/>
        <w:spacing w:before="0" w:beforeAutospacing="0" w:after="0" w:afterAutospacing="0"/>
        <w:ind w:firstLine="709"/>
        <w:jc w:val="both"/>
      </w:pPr>
      <w:r>
        <w:rPr>
          <w:sz w:val="28"/>
          <w:szCs w:val="28"/>
        </w:rPr>
        <w:t xml:space="preserve">стационарных торговых объектов – более </w:t>
      </w:r>
      <w:r>
        <w:rPr>
          <w:sz w:val="28"/>
          <w:szCs w:val="28"/>
        </w:rPr>
        <w:t xml:space="preserve">10100  при</w:t>
      </w:r>
      <w:r>
        <w:rPr>
          <w:sz w:val="28"/>
          <w:szCs w:val="28"/>
        </w:rPr>
        <w:t xml:space="preserve"> нормативе  5362 объекта (188,4 процента);</w:t>
      </w:r>
    </w:p>
    <w:p>
      <w:pPr>
        <w:pStyle w:val="afd"/>
        <w:spacing w:before="0" w:beforeAutospacing="0" w:after="0" w:afterAutospacing="0"/>
        <w:ind w:firstLine="708"/>
        <w:jc w:val="both"/>
      </w:pPr>
      <w:r>
        <w:rPr>
          <w:sz w:val="28"/>
          <w:szCs w:val="28"/>
        </w:rPr>
        <w:t xml:space="preserve">нестационарных торговых объектов (с учетом сезонных объектов) –                  </w:t>
      </w:r>
      <w:r>
        <w:rPr>
          <w:sz w:val="28"/>
          <w:szCs w:val="28"/>
        </w:rPr>
        <w:t xml:space="preserve">3966  при</w:t>
      </w:r>
      <w:r>
        <w:rPr>
          <w:sz w:val="28"/>
          <w:szCs w:val="28"/>
        </w:rPr>
        <w:t xml:space="preserve"> нормативе 1110 объектов (3,57 раза):</w:t>
      </w:r>
    </w:p>
    <w:p>
      <w:pPr>
        <w:pStyle w:val="afd"/>
        <w:spacing w:before="0" w:beforeAutospacing="0" w:after="0" w:afterAutospacing="0"/>
        <w:ind w:firstLine="708"/>
        <w:jc w:val="both"/>
      </w:pPr>
      <w:r>
        <w:rPr>
          <w:sz w:val="28"/>
          <w:szCs w:val="28"/>
        </w:rPr>
        <w:t xml:space="preserve">ярмарок и розничных рынков – 110 объектов при нормативе   84 объекта (131,0 процента).</w:t>
      </w:r>
    </w:p>
    <w:p>
      <w:pPr>
        <w:ind w:right="-5" w:firstLine="709"/>
        <w:jc w:val="both"/>
        <w:rPr>
          <w:sz w:val="28"/>
          <w:szCs w:val="28"/>
        </w:rPr>
      </w:pPr>
      <w:r>
        <w:rPr>
          <w:sz w:val="28"/>
          <w:szCs w:val="28"/>
        </w:rPr>
        <w:t xml:space="preserve">В 2025 году темп роста оборота розничной торговли оценивается на уровне 104,5 процента к уровню 2024 года. </w:t>
      </w:r>
    </w:p>
    <w:p>
      <w:pPr>
        <w:pStyle w:val="16"/>
        <w:shd w:val="clear" w:color="auto" w:fill="auto"/>
        <w:spacing w:after="0" w:line="240" w:lineRule="auto"/>
        <w:ind w:left="80" w:right="60" w:firstLine="680"/>
        <w:jc w:val="both"/>
        <w:rPr>
          <w:sz w:val="28"/>
          <w:szCs w:val="28"/>
        </w:rPr>
      </w:pPr>
      <w:r>
        <w:rPr>
          <w:sz w:val="28"/>
          <w:szCs w:val="28"/>
        </w:rPr>
        <w:t xml:space="preserve">По мере стабилизации экономики и роста доходов населения в 2026–2028 годах динамика потребления населения будет восстанавливаться. Прогнозируются расширение сети торговли, обновление ее структуры, внедрение более совершенных, прогрессивных форм и методов продажи товаров и услуг.</w:t>
      </w:r>
    </w:p>
    <w:p>
      <w:pPr>
        <w:ind w:firstLine="709"/>
        <w:jc w:val="both"/>
        <w:rPr>
          <w:sz w:val="28"/>
          <w:szCs w:val="28"/>
        </w:rPr>
      </w:pPr>
      <w:r>
        <w:rPr>
          <w:sz w:val="28"/>
          <w:szCs w:val="28"/>
        </w:rPr>
        <w:t xml:space="preserve">В 2026–2028 годах повышение покупательной способности населения, обусловленное ростом реальных располагаемых денежных доходов, будет способствовать увеличению оборота розничной торговли: в 2026 году – на                         4,9 </w:t>
      </w:r>
      <w:r>
        <w:rPr>
          <w:bCs/>
          <w:sz w:val="28"/>
          <w:szCs w:val="28"/>
        </w:rPr>
        <w:t xml:space="preserve">процента</w:t>
      </w:r>
      <w:r>
        <w:rPr>
          <w:sz w:val="28"/>
          <w:szCs w:val="28"/>
        </w:rPr>
        <w:t xml:space="preserve">, в 2027 году – на 4,1 </w:t>
      </w:r>
      <w:r>
        <w:rPr>
          <w:bCs/>
          <w:sz w:val="28"/>
          <w:szCs w:val="28"/>
        </w:rPr>
        <w:t xml:space="preserve">процента</w:t>
      </w:r>
      <w:r>
        <w:rPr>
          <w:sz w:val="28"/>
          <w:szCs w:val="28"/>
        </w:rPr>
        <w:t xml:space="preserve">, в 2028 году – на 3,9 процента по </w:t>
      </w:r>
      <w:r>
        <w:rPr>
          <w:bCs/>
          <w:sz w:val="28"/>
          <w:szCs w:val="28"/>
        </w:rPr>
        <w:t xml:space="preserve">базовому варианту прогноза.</w:t>
      </w:r>
    </w:p>
    <w:p>
      <w:pPr>
        <w:ind w:firstLine="709"/>
        <w:jc w:val="both"/>
        <w:rPr>
          <w:sz w:val="28"/>
          <w:szCs w:val="28"/>
        </w:rPr>
      </w:pPr>
      <w:r>
        <w:rPr>
          <w:sz w:val="28"/>
          <w:szCs w:val="28"/>
        </w:rPr>
        <w:t xml:space="preserve">Объем платных услуг в 2025 году оценивается в сумме 157,02 млрд. рублей, или 104,0 </w:t>
      </w:r>
      <w:r>
        <w:rPr>
          <w:bCs/>
          <w:sz w:val="28"/>
          <w:szCs w:val="28"/>
        </w:rPr>
        <w:t xml:space="preserve">процента</w:t>
      </w:r>
      <w:r>
        <w:rPr>
          <w:sz w:val="28"/>
          <w:szCs w:val="28"/>
        </w:rPr>
        <w:t xml:space="preserve"> к уровню 2024 года. В 2025 году структура платных услуг населению существенно не изменится. В структуре платных услуг населению сохраняется преобладающая доля жилищно-коммунальных, телекоммуникационных, транспортных и бытовых услуг. </w:t>
      </w:r>
    </w:p>
    <w:p>
      <w:pPr>
        <w:jc w:val="center"/>
        <w:rPr>
          <w:sz w:val="28"/>
          <w:szCs w:val="28"/>
        </w:rPr>
      </w:pPr>
    </w:p>
    <w:p>
      <w:pPr>
        <w:jc w:val="both"/>
        <w:rPr>
          <w:b/>
          <w:bCs/>
          <w:sz w:val="2"/>
          <w:szCs w:val="28"/>
        </w:rPr>
      </w:pPr>
    </w:p>
    <w:p>
      <w:pPr>
        <w:pStyle w:val="25"/>
        <w:jc w:val="center"/>
        <w:rPr>
          <w:b w:val="0"/>
          <w:sz w:val="28"/>
          <w:szCs w:val="28"/>
        </w:rPr>
      </w:pPr>
      <w:r>
        <w:rPr>
          <w:b w:val="0"/>
          <w:sz w:val="28"/>
          <w:szCs w:val="28"/>
        </w:rPr>
        <w:t xml:space="preserve">Труд и занятость</w:t>
      </w:r>
    </w:p>
    <w:p>
      <w:pPr>
        <w:pStyle w:val="25"/>
        <w:jc w:val="center"/>
        <w:rPr>
          <w:b w:val="0"/>
          <w:sz w:val="24"/>
          <w:szCs w:val="28"/>
        </w:rPr>
      </w:pPr>
    </w:p>
    <w:p>
      <w:pPr>
        <w:widowControl w:val="off"/>
        <w:ind w:firstLine="709"/>
        <w:jc w:val="both"/>
        <w:rPr>
          <w:rFonts w:eastAsia="Trebuchet MS"/>
          <w:spacing w:val="5"/>
          <w:sz w:val="28"/>
          <w:szCs w:val="28"/>
          <w:highlight w:val="white"/>
          <w:shd w:val="clear" w:color="auto" w:fill="ffffff"/>
        </w:rPr>
      </w:pPr>
      <w:r>
        <w:rPr>
          <w:sz w:val="28"/>
          <w:szCs w:val="28"/>
          <w:highlight w:val="white"/>
        </w:rPr>
        <w:t xml:space="preserve">Ситуация на рынке труда в Оренбургской области в 2026–2028 годах будет развиваться под влиянием демографических, социально-экономических факторов </w:t>
      </w:r>
      <w:r>
        <w:rPr>
          <w:rFonts w:eastAsia="Calibri"/>
          <w:sz w:val="28"/>
          <w:szCs w:val="28"/>
          <w:highlight w:val="white"/>
          <w:lang w:eastAsia="en-US"/>
        </w:rPr>
        <w:t xml:space="preserve">в условиях внешнего </w:t>
      </w:r>
      <w:r>
        <w:rPr>
          <w:rFonts w:eastAsia="Calibri"/>
          <w:sz w:val="28"/>
          <w:szCs w:val="28"/>
          <w:highlight w:val="white"/>
          <w:lang w:eastAsia="en-US"/>
        </w:rPr>
        <w:t xml:space="preserve">санкционного</w:t>
      </w:r>
      <w:r>
        <w:rPr>
          <w:rFonts w:eastAsia="Calibri"/>
          <w:sz w:val="28"/>
          <w:szCs w:val="28"/>
          <w:highlight w:val="white"/>
          <w:lang w:eastAsia="en-US"/>
        </w:rPr>
        <w:t xml:space="preserve"> давления.</w:t>
      </w:r>
    </w:p>
    <w:p>
      <w:pPr>
        <w:ind w:firstLine="709"/>
        <w:jc w:val="both"/>
        <w:rPr>
          <w:sz w:val="28"/>
          <w:szCs w:val="28"/>
          <w:highlight w:val="white"/>
        </w:rPr>
      </w:pPr>
      <w:r>
        <w:rPr>
          <w:rFonts w:eastAsia="Calibri"/>
          <w:iCs/>
          <w:sz w:val="28"/>
          <w:szCs w:val="28"/>
          <w:highlight w:val="white"/>
          <w:shd w:val="clear" w:color="auto" w:fill="ffffff"/>
          <w:lang w:eastAsia="en-US"/>
        </w:rPr>
        <w:t xml:space="preserve">Центрами занятости населения Оренбургской области проводится работа по минимизации негативных последствий и предотвращению рисков для рынка труда. </w:t>
      </w:r>
    </w:p>
    <w:p>
      <w:pPr>
        <w:widowControl w:val="off"/>
        <w:ind w:firstLine="709"/>
        <w:jc w:val="both"/>
        <w:rPr>
          <w:sz w:val="28"/>
          <w:szCs w:val="28"/>
          <w:highlight w:val="white"/>
        </w:rPr>
      </w:pPr>
      <w:r>
        <w:rPr>
          <w:sz w:val="28"/>
          <w:szCs w:val="28"/>
          <w:highlight w:val="white"/>
        </w:rPr>
        <w:t xml:space="preserve">Показатели численности рабочей силы, занятого населения, общей численности безработных граждан и уровня общей </w:t>
      </w:r>
      <w:r>
        <w:rPr>
          <w:sz w:val="28"/>
          <w:szCs w:val="28"/>
          <w:highlight w:val="white"/>
        </w:rPr>
        <w:t xml:space="preserve">безработицы  (</w:t>
      </w:r>
      <w:r>
        <w:rPr>
          <w:sz w:val="28"/>
          <w:szCs w:val="28"/>
          <w:highlight w:val="white"/>
        </w:rPr>
        <w:t xml:space="preserve">по методологии МОТ) на 2025–2028 годы определены в соответствии с  данными материалов выборочного обследования населения и баланса затрат труда. </w:t>
      </w:r>
    </w:p>
    <w:p>
      <w:pPr>
        <w:widowControl w:val="off"/>
        <w:ind w:firstLine="709"/>
        <w:jc w:val="both"/>
        <w:rPr>
          <w:sz w:val="28"/>
          <w:szCs w:val="28"/>
          <w:highlight w:val="white"/>
        </w:rPr>
      </w:pPr>
      <w:r>
        <w:rPr>
          <w:sz w:val="28"/>
          <w:szCs w:val="28"/>
          <w:highlight w:val="white"/>
        </w:rPr>
        <w:t xml:space="preserve">В 2025 году, по оценке, численность рабочей силы уменьшится по сравнению с 2024 годом на 5,0 тыс. человек и составит 954,0 тыс. человек, численность занятых в экономике </w:t>
      </w:r>
      <w:r>
        <w:rPr>
          <w:sz w:val="28"/>
          <w:szCs w:val="28"/>
          <w:highlight w:val="white"/>
        </w:rPr>
        <w:t xml:space="preserve">уменьшится  на</w:t>
      </w:r>
      <w:r>
        <w:rPr>
          <w:sz w:val="28"/>
          <w:szCs w:val="28"/>
          <w:highlight w:val="white"/>
        </w:rPr>
        <w:t xml:space="preserve"> 0,1 тыс. человек и составит                   866,1 тыс. человек. Уровень общей безработицы снизится на 0,1 процента и составит 1,5 процента от рабочей силы.</w:t>
      </w:r>
    </w:p>
    <w:p>
      <w:pPr>
        <w:widowControl w:val="off"/>
        <w:ind w:firstLine="709"/>
        <w:jc w:val="both"/>
        <w:rPr>
          <w:sz w:val="28"/>
          <w:szCs w:val="28"/>
          <w:highlight w:val="white"/>
        </w:rPr>
      </w:pPr>
      <w:r>
        <w:rPr>
          <w:sz w:val="28"/>
          <w:szCs w:val="28"/>
          <w:highlight w:val="white"/>
        </w:rPr>
        <w:t xml:space="preserve">В 2026–2028 годах численность рабочей силы по базовому варианту прогноза по сравнению с 2025 годом увеличится на 1,1 тыс. человек и составит 955,1 тыс. человек.</w:t>
      </w:r>
    </w:p>
    <w:p>
      <w:pPr>
        <w:widowControl w:val="off"/>
        <w:ind w:firstLine="709"/>
        <w:jc w:val="both"/>
        <w:rPr>
          <w:sz w:val="28"/>
          <w:szCs w:val="28"/>
          <w:highlight w:val="white"/>
        </w:rPr>
      </w:pPr>
      <w:r>
        <w:rPr>
          <w:sz w:val="28"/>
          <w:szCs w:val="28"/>
          <w:highlight w:val="white"/>
        </w:rPr>
        <w:t xml:space="preserve">В 2025 году, по оценке, общая численность безработных граждан (по методологии МОТ) снизится по сравнению с уровнем 2024 года на 1,0 тыс. человек и составит 14,1 тыс. человек.  По базовому варианту прогноза в                     2028 году показатель составит 14,0 тыс. человек. </w:t>
      </w:r>
    </w:p>
    <w:p>
      <w:pPr>
        <w:widowControl w:val="off"/>
        <w:ind w:firstLine="709"/>
        <w:jc w:val="both"/>
        <w:rPr>
          <w:sz w:val="28"/>
          <w:szCs w:val="28"/>
          <w:highlight w:val="white"/>
        </w:rPr>
      </w:pPr>
      <w:r>
        <w:rPr>
          <w:sz w:val="28"/>
          <w:szCs w:val="28"/>
          <w:highlight w:val="white"/>
        </w:rPr>
        <w:t xml:space="preserve">Уровень общей безработицы к 2028 году по базовому варианту останется на уровне 1,5 процента.</w:t>
      </w:r>
    </w:p>
    <w:p>
      <w:pPr>
        <w:widowControl w:val="off"/>
        <w:tabs>
          <w:tab w:val="left" w:pos="709"/>
        </w:tabs>
        <w:ind w:firstLine="709"/>
        <w:jc w:val="both"/>
        <w:rPr>
          <w:sz w:val="28"/>
          <w:szCs w:val="28"/>
          <w:highlight w:val="white"/>
        </w:rPr>
      </w:pPr>
      <w:r>
        <w:rPr>
          <w:sz w:val="28"/>
          <w:szCs w:val="28"/>
          <w:highlight w:val="white"/>
        </w:rPr>
        <w:t xml:space="preserve">Показатели регистрируемой безработицы будут зависеть от результатов реализации государственной программы «Содействие занятости населения Оренбургской области» и федерального проекта «Содействие занятости» национального проекта «Демография», в рамках которого новые профессии получат около 2,0 тыс. человек.  </w:t>
      </w:r>
    </w:p>
    <w:p>
      <w:pPr>
        <w:widowControl w:val="off"/>
        <w:ind w:firstLine="709"/>
        <w:jc w:val="both"/>
        <w:rPr>
          <w:sz w:val="28"/>
          <w:szCs w:val="28"/>
          <w:highlight w:val="white"/>
        </w:rPr>
      </w:pPr>
      <w:r>
        <w:rPr>
          <w:sz w:val="28"/>
          <w:szCs w:val="28"/>
          <w:highlight w:val="white"/>
        </w:rPr>
        <w:t xml:space="preserve">В 2028 году будет отмечаться снижение численности зарегистрированных безработных граждан (на конец года) по сравнению с 2025 годом с                 5,6 тыс. человек до 5,5 тыс. человек по базовому варианту прогноза.</w:t>
      </w:r>
    </w:p>
    <w:p>
      <w:pPr>
        <w:widowControl w:val="off"/>
        <w:ind w:firstLine="709"/>
        <w:jc w:val="both"/>
        <w:rPr>
          <w:sz w:val="28"/>
          <w:szCs w:val="28"/>
          <w:highlight w:val="white"/>
        </w:rPr>
      </w:pPr>
      <w:r>
        <w:rPr>
          <w:sz w:val="28"/>
          <w:szCs w:val="28"/>
          <w:highlight w:val="white"/>
        </w:rPr>
        <w:t xml:space="preserve">Уровень регистрируемой безработицы в конце 2025 года и прогнозном периоде до 2028 года включительно составит 0,6 процента от численности рабочей силы.</w:t>
      </w:r>
    </w:p>
    <w:p>
      <w:pPr>
        <w:spacing w:line="276" w:lineRule="auto"/>
        <w:jc w:val="center"/>
        <w:rPr>
          <w:bCs/>
          <w:color w:val="000000" w:themeColor="text1"/>
          <w:sz w:val="28"/>
          <w:szCs w:val="28"/>
        </w:rPr>
      </w:pPr>
      <w:r>
        <w:rPr>
          <w:bCs/>
          <w:color w:val="000000" w:themeColor="text1"/>
          <w:sz w:val="28"/>
          <w:szCs w:val="28"/>
        </w:rPr>
        <w:t xml:space="preserve">Уровень жизни населения</w:t>
      </w:r>
    </w:p>
    <w:p>
      <w:pPr>
        <w:spacing w:line="276" w:lineRule="auto"/>
        <w:jc w:val="center"/>
        <w:rPr>
          <w:color w:val="000000" w:themeColor="text1"/>
          <w:sz w:val="14"/>
          <w:szCs w:val="28"/>
        </w:rPr>
      </w:pPr>
    </w:p>
    <w:p>
      <w:pPr>
        <w:pStyle w:val="35"/>
        <w:spacing w:after="0"/>
        <w:ind w:left="0" w:firstLine="709"/>
        <w:jc w:val="both"/>
        <w:rPr>
          <w:color w:val="000000" w:themeColor="text1"/>
          <w:sz w:val="28"/>
          <w:szCs w:val="28"/>
        </w:rPr>
      </w:pPr>
      <w:r>
        <w:rPr>
          <w:color w:val="000000" w:themeColor="text1"/>
          <w:sz w:val="28"/>
          <w:szCs w:val="28"/>
        </w:rPr>
        <w:t xml:space="preserve">В 2025 году фонд заработной платы работников организаций Оренбургской области, по оценке, составит 413 133,4 млн. рублей, или 113,0 процента к уровню 2024 года.</w:t>
      </w:r>
    </w:p>
    <w:p>
      <w:pPr>
        <w:pStyle w:val="35"/>
        <w:spacing w:after="0"/>
        <w:ind w:left="0" w:firstLine="709"/>
        <w:jc w:val="both"/>
        <w:rPr>
          <w:color w:val="000000" w:themeColor="text1"/>
          <w:sz w:val="28"/>
          <w:szCs w:val="28"/>
        </w:rPr>
      </w:pPr>
      <w:r>
        <w:rPr>
          <w:color w:val="000000" w:themeColor="text1"/>
          <w:sz w:val="28"/>
          <w:szCs w:val="28"/>
        </w:rPr>
        <w:t xml:space="preserve">В среднесрочной перспективе темпы роста фонда заработной платы по базовому варианту прогноза составят: в 2026 году – 107,7 процента, в                    2027 году – 106,9 процента и в 2028 году – 105,3 процента.</w:t>
      </w:r>
    </w:p>
    <w:p>
      <w:pPr>
        <w:ind w:firstLine="709"/>
        <w:jc w:val="both"/>
        <w:rPr>
          <w:color w:val="000000" w:themeColor="text1"/>
          <w:sz w:val="28"/>
          <w:szCs w:val="28"/>
          <w:highlight w:val="white"/>
        </w:rPr>
      </w:pPr>
      <w:r>
        <w:rPr>
          <w:color w:val="000000" w:themeColor="text1"/>
          <w:sz w:val="28"/>
          <w:szCs w:val="28"/>
        </w:rPr>
        <w:t xml:space="preserve">В среднесрочной перспективе рост заработной платы составит по базовому варианту прогноза: в 2026 году – 108,0 процента, в 2027 году –                  108,0 процента, в 2028 году – 1</w:t>
      </w:r>
      <w:r>
        <w:rPr>
          <w:color w:val="000000" w:themeColor="text1"/>
          <w:sz w:val="28"/>
          <w:szCs w:val="28"/>
          <w:highlight w:val="white"/>
        </w:rPr>
        <w:t xml:space="preserve">07,3 процента. </w:t>
      </w:r>
    </w:p>
    <w:p>
      <w:pPr>
        <w:ind w:firstLine="709"/>
        <w:jc w:val="both"/>
        <w:rPr>
          <w:color w:val="000000" w:themeColor="text1"/>
          <w:sz w:val="28"/>
          <w:szCs w:val="28"/>
          <w:highlight w:val="white"/>
        </w:rPr>
      </w:pPr>
      <w:r>
        <w:rPr>
          <w:color w:val="000000" w:themeColor="text1"/>
          <w:sz w:val="28"/>
          <w:szCs w:val="28"/>
          <w:highlight w:val="white"/>
        </w:rPr>
        <w:t xml:space="preserve">В 2025 году показатель «Реальная заработная плата работников организаций», по оценке, составит 107,3 процента к уровню 2024 года, в 2028 году по базовому варианту прогноза – 103,2 процента к уровню 2027 года.</w:t>
      </w:r>
    </w:p>
    <w:p>
      <w:pPr>
        <w:ind w:firstLine="709"/>
        <w:jc w:val="both"/>
        <w:rPr>
          <w:color w:val="000000" w:themeColor="text1"/>
          <w:sz w:val="28"/>
          <w:szCs w:val="28"/>
          <w:highlight w:val="white"/>
          <w:shd w:val="clear" w:color="auto" w:fill="ffffff"/>
        </w:rPr>
      </w:pPr>
      <w:r>
        <w:rPr>
          <w:color w:val="000000" w:themeColor="text1"/>
          <w:sz w:val="28"/>
          <w:szCs w:val="28"/>
          <w:highlight w:val="white"/>
          <w:shd w:val="clear" w:color="auto" w:fill="ffffff"/>
        </w:rPr>
        <w:t xml:space="preserve">Рост заработной платы в</w:t>
      </w:r>
      <w:r>
        <w:rPr>
          <w:color w:val="000000" w:themeColor="text1"/>
          <w:sz w:val="28"/>
          <w:szCs w:val="28"/>
          <w:highlight w:val="white"/>
        </w:rPr>
        <w:t xml:space="preserve"> среднесрочной перспективе</w:t>
      </w:r>
      <w:r>
        <w:rPr>
          <w:color w:val="000000" w:themeColor="text1"/>
          <w:sz w:val="28"/>
          <w:szCs w:val="28"/>
          <w:highlight w:val="white"/>
          <w:shd w:val="clear" w:color="auto" w:fill="ffffff"/>
        </w:rPr>
        <w:t xml:space="preserve"> связан с проведением ряда стимулирующих мер по ее повышению:</w:t>
      </w:r>
    </w:p>
    <w:p>
      <w:pPr>
        <w:ind w:firstLine="709"/>
        <w:jc w:val="both"/>
        <w:rPr>
          <w:color w:val="000000" w:themeColor="text1"/>
          <w:sz w:val="28"/>
          <w:szCs w:val="28"/>
          <w:highlight w:val="white"/>
        </w:rPr>
      </w:pPr>
      <w:r>
        <w:rPr>
          <w:sz w:val="28"/>
          <w:szCs w:val="28"/>
          <w:highlight w:val="white"/>
          <w:shd w:val="clear" w:color="auto" w:fill="ffffff"/>
        </w:rPr>
        <w:t xml:space="preserve">ежегодный рост минимального размера оплаты труда (</w:t>
      </w:r>
      <w:r>
        <w:rPr>
          <w:bCs/>
          <w:sz w:val="28"/>
          <w:szCs w:val="28"/>
          <w:highlight w:val="white"/>
        </w:rPr>
        <w:t xml:space="preserve">минимальный</w:t>
      </w:r>
      <w:r>
        <w:rPr>
          <w:sz w:val="28"/>
          <w:szCs w:val="28"/>
          <w:highlight w:val="white"/>
        </w:rPr>
        <w:t xml:space="preserve"> </w:t>
      </w:r>
      <w:r>
        <w:rPr>
          <w:bCs/>
          <w:sz w:val="28"/>
          <w:szCs w:val="28"/>
          <w:highlight w:val="white"/>
        </w:rPr>
        <w:t xml:space="preserve">размер</w:t>
      </w:r>
      <w:r>
        <w:rPr>
          <w:sz w:val="28"/>
          <w:szCs w:val="28"/>
          <w:highlight w:val="white"/>
        </w:rPr>
        <w:t xml:space="preserve"> </w:t>
      </w:r>
      <w:r>
        <w:rPr>
          <w:bCs/>
          <w:sz w:val="28"/>
          <w:szCs w:val="28"/>
          <w:highlight w:val="white"/>
        </w:rPr>
        <w:t xml:space="preserve">оплаты</w:t>
      </w:r>
      <w:r>
        <w:rPr>
          <w:sz w:val="28"/>
          <w:szCs w:val="28"/>
          <w:highlight w:val="white"/>
        </w:rPr>
        <w:t xml:space="preserve"> </w:t>
      </w:r>
      <w:r>
        <w:rPr>
          <w:bCs/>
          <w:sz w:val="28"/>
          <w:szCs w:val="28"/>
          <w:highlight w:val="white"/>
        </w:rPr>
        <w:t xml:space="preserve">труда</w:t>
      </w:r>
      <w:r>
        <w:rPr>
          <w:sz w:val="28"/>
          <w:szCs w:val="28"/>
          <w:highlight w:val="white"/>
        </w:rPr>
        <w:t xml:space="preserve"> вырастет </w:t>
      </w:r>
      <w:r>
        <w:rPr>
          <w:bCs/>
          <w:sz w:val="28"/>
          <w:szCs w:val="28"/>
          <w:highlight w:val="white"/>
        </w:rPr>
        <w:t xml:space="preserve">в</w:t>
      </w:r>
      <w:r>
        <w:rPr>
          <w:sz w:val="28"/>
          <w:szCs w:val="28"/>
          <w:highlight w:val="white"/>
        </w:rPr>
        <w:t xml:space="preserve"> </w:t>
      </w:r>
      <w:r>
        <w:rPr>
          <w:bCs/>
          <w:sz w:val="28"/>
          <w:szCs w:val="28"/>
          <w:highlight w:val="white"/>
        </w:rPr>
        <w:t xml:space="preserve">2026</w:t>
      </w:r>
      <w:r>
        <w:rPr>
          <w:sz w:val="28"/>
          <w:szCs w:val="28"/>
          <w:highlight w:val="white"/>
        </w:rPr>
        <w:t xml:space="preserve"> </w:t>
      </w:r>
      <w:r>
        <w:rPr>
          <w:bCs/>
          <w:sz w:val="28"/>
          <w:szCs w:val="28"/>
          <w:highlight w:val="white"/>
        </w:rPr>
        <w:t xml:space="preserve">году, по оценке,</w:t>
      </w:r>
      <w:r>
        <w:rPr>
          <w:sz w:val="28"/>
          <w:szCs w:val="28"/>
          <w:highlight w:val="white"/>
        </w:rPr>
        <w:t xml:space="preserve"> на 20,7 процента и составит 31 156,95 ру</w:t>
      </w:r>
      <w:r>
        <w:rPr>
          <w:color w:val="000000" w:themeColor="text1"/>
          <w:sz w:val="28"/>
          <w:szCs w:val="28"/>
          <w:highlight w:val="white"/>
        </w:rPr>
        <w:t xml:space="preserve">бля);</w:t>
      </w:r>
    </w:p>
    <w:p>
      <w:pPr>
        <w:ind w:firstLine="709"/>
        <w:jc w:val="both"/>
        <w:rPr>
          <w:color w:val="000000" w:themeColor="text1"/>
          <w:sz w:val="28"/>
          <w:szCs w:val="28"/>
          <w:highlight w:val="white"/>
        </w:rPr>
      </w:pPr>
      <w:r>
        <w:rPr>
          <w:color w:val="000000" w:themeColor="text1"/>
          <w:sz w:val="28"/>
          <w:szCs w:val="28"/>
          <w:highlight w:val="white"/>
        </w:rPr>
        <w:t xml:space="preserve">сохранение соотношений уровней оплаты труда отдельных </w:t>
      </w:r>
      <w:r>
        <w:rPr>
          <w:color w:val="000000" w:themeColor="text1"/>
          <w:sz w:val="28"/>
          <w:szCs w:val="28"/>
          <w:highlight w:val="white"/>
        </w:rPr>
        <w:t xml:space="preserve">категорий </w:t>
      </w:r>
      <w:r>
        <w:rPr>
          <w:color w:val="000000" w:themeColor="text1"/>
          <w:sz w:val="28"/>
          <w:szCs w:val="28"/>
          <w:highlight w:val="white"/>
          <w:shd w:val="clear" w:color="auto" w:fill="ffffff"/>
        </w:rPr>
        <w:t xml:space="preserve"> работников</w:t>
      </w:r>
      <w:r>
        <w:rPr>
          <w:color w:val="000000" w:themeColor="text1"/>
          <w:sz w:val="28"/>
          <w:szCs w:val="28"/>
          <w:highlight w:val="white"/>
          <w:shd w:val="clear" w:color="auto" w:fill="ffffff"/>
        </w:rPr>
        <w:t xml:space="preserve"> бюджетной сферы в рамках поручений Президента Российской Федерации;</w:t>
      </w:r>
    </w:p>
    <w:p>
      <w:pPr>
        <w:ind w:firstLine="709"/>
        <w:jc w:val="both"/>
        <w:rPr>
          <w:color w:val="000000" w:themeColor="text1"/>
          <w:sz w:val="28"/>
          <w:szCs w:val="28"/>
          <w:shd w:val="clear" w:color="auto" w:fill="ffffff"/>
        </w:rPr>
      </w:pPr>
      <w:r>
        <w:rPr>
          <w:color w:val="000000" w:themeColor="text1"/>
          <w:sz w:val="28"/>
          <w:szCs w:val="28"/>
          <w:shd w:val="clear" w:color="auto" w:fill="ffffff"/>
        </w:rPr>
        <w:t xml:space="preserve">проведение ежегодной индексации заработной платы иных категорий работников организаций бюджетной сферы.</w:t>
      </w:r>
    </w:p>
    <w:p>
      <w:pPr>
        <w:ind w:firstLine="709"/>
        <w:jc w:val="both"/>
        <w:rPr>
          <w:color w:val="000000" w:themeColor="text1"/>
          <w:sz w:val="28"/>
          <w:szCs w:val="28"/>
          <w:shd w:val="clear" w:color="auto" w:fill="ffffff"/>
        </w:rPr>
      </w:pPr>
      <w:r>
        <w:rPr>
          <w:color w:val="000000" w:themeColor="text1"/>
          <w:sz w:val="28"/>
          <w:szCs w:val="28"/>
          <w:shd w:val="clear" w:color="auto" w:fill="ffffff"/>
        </w:rPr>
        <w:t xml:space="preserve">Во внебюджетном секторе рост заработной платы будет определяться динамикой производительности труда и в рамках коллективных договоров.</w:t>
      </w:r>
    </w:p>
    <w:p>
      <w:pPr>
        <w:pStyle w:val="Default"/>
        <w:ind w:firstLine="709"/>
        <w:jc w:val="both"/>
        <w:rPr>
          <w:color w:val="000000" w:themeColor="text1"/>
          <w:sz w:val="28"/>
          <w:szCs w:val="28"/>
          <w:shd w:val="clear" w:color="auto" w:fill="ffffff"/>
        </w:rPr>
      </w:pPr>
      <w:r>
        <w:rPr>
          <w:color w:val="000000" w:themeColor="text1"/>
          <w:sz w:val="28"/>
          <w:szCs w:val="28"/>
          <w:shd w:val="clear" w:color="auto" w:fill="ffffff"/>
        </w:rPr>
        <w:t xml:space="preserve">Также росту заработной платы будут способствовать низкая безработица и достаточный уровень конкуренции на рынке труда. </w:t>
      </w:r>
    </w:p>
    <w:p>
      <w:pPr>
        <w:ind w:firstLine="709"/>
        <w:jc w:val="both"/>
        <w:rPr>
          <w:color w:val="000000" w:themeColor="text1"/>
          <w:sz w:val="28"/>
          <w:szCs w:val="28"/>
        </w:rPr>
      </w:pPr>
      <w:r>
        <w:rPr>
          <w:color w:val="000000" w:themeColor="text1"/>
          <w:sz w:val="28"/>
          <w:szCs w:val="28"/>
        </w:rPr>
        <w:t xml:space="preserve">Реальные располагаемые денежные доходы населения в 2025 году оцениваются на уровне 103,6 процента. </w:t>
      </w:r>
    </w:p>
    <w:p>
      <w:pPr>
        <w:ind w:firstLine="709"/>
        <w:jc w:val="both"/>
        <w:rPr>
          <w:sz w:val="28"/>
          <w:szCs w:val="28"/>
        </w:rPr>
      </w:pPr>
      <w:r>
        <w:rPr>
          <w:sz w:val="28"/>
          <w:szCs w:val="28"/>
        </w:rPr>
        <w:t xml:space="preserve">В среднесрочной перспективе увеличению реально располагаемых денежных доходов будут способствовать следующие факторы:</w:t>
      </w:r>
    </w:p>
    <w:p>
      <w:pPr>
        <w:ind w:firstLine="709"/>
        <w:jc w:val="both"/>
        <w:rPr>
          <w:sz w:val="28"/>
          <w:szCs w:val="28"/>
          <w:highlight w:val="white"/>
        </w:rPr>
      </w:pPr>
      <w:r>
        <w:rPr>
          <w:sz w:val="28"/>
          <w:szCs w:val="28"/>
          <w:highlight w:val="white"/>
        </w:rPr>
        <w:t xml:space="preserve">устойчивый рост оплаты труда работников;</w:t>
      </w:r>
    </w:p>
    <w:p>
      <w:pPr>
        <w:ind w:firstLine="709"/>
        <w:jc w:val="both"/>
        <w:rPr>
          <w:sz w:val="28"/>
          <w:szCs w:val="28"/>
          <w:highlight w:val="white"/>
        </w:rPr>
      </w:pPr>
      <w:r>
        <w:rPr>
          <w:sz w:val="28"/>
          <w:szCs w:val="28"/>
          <w:highlight w:val="white"/>
        </w:rPr>
        <w:t xml:space="preserve">рост уровня пенсионного обеспечения;</w:t>
      </w:r>
    </w:p>
    <w:p>
      <w:pPr>
        <w:ind w:firstLine="709"/>
        <w:jc w:val="both"/>
        <w:rPr>
          <w:sz w:val="28"/>
          <w:szCs w:val="28"/>
          <w:highlight w:val="white"/>
        </w:rPr>
      </w:pPr>
      <w:r>
        <w:rPr>
          <w:sz w:val="28"/>
          <w:szCs w:val="28"/>
          <w:highlight w:val="white"/>
        </w:rPr>
        <w:t xml:space="preserve">индексация социальных выплат;</w:t>
      </w:r>
    </w:p>
    <w:p>
      <w:pPr>
        <w:ind w:firstLine="709"/>
        <w:jc w:val="both"/>
        <w:rPr>
          <w:sz w:val="28"/>
          <w:szCs w:val="28"/>
          <w:highlight w:val="white"/>
        </w:rPr>
      </w:pPr>
      <w:r>
        <w:rPr>
          <w:sz w:val="28"/>
          <w:szCs w:val="28"/>
          <w:highlight w:val="white"/>
        </w:rPr>
        <w:t xml:space="preserve">реализация региональной программы «Снижение доли населения с доходами ниже границы бедности в Оренбургской области»;</w:t>
      </w:r>
    </w:p>
    <w:p>
      <w:pPr>
        <w:ind w:firstLine="709"/>
        <w:jc w:val="both"/>
        <w:rPr>
          <w:sz w:val="28"/>
          <w:szCs w:val="28"/>
          <w:highlight w:val="white"/>
        </w:rPr>
      </w:pPr>
      <w:r>
        <w:rPr>
          <w:sz w:val="28"/>
          <w:szCs w:val="28"/>
          <w:highlight w:val="white"/>
        </w:rPr>
        <w:t xml:space="preserve">целевая поддержка отдельных категорий граждан;</w:t>
      </w:r>
    </w:p>
    <w:p>
      <w:pPr>
        <w:ind w:firstLine="709"/>
        <w:jc w:val="both"/>
        <w:rPr>
          <w:sz w:val="28"/>
          <w:szCs w:val="28"/>
        </w:rPr>
      </w:pPr>
      <w:r>
        <w:rPr>
          <w:sz w:val="28"/>
          <w:szCs w:val="28"/>
        </w:rPr>
        <w:t xml:space="preserve">содействие занятости отдельных категорий граждан;</w:t>
      </w:r>
    </w:p>
    <w:p>
      <w:pPr>
        <w:ind w:firstLine="709"/>
        <w:jc w:val="both"/>
        <w:rPr>
          <w:sz w:val="28"/>
          <w:szCs w:val="28"/>
        </w:rPr>
      </w:pPr>
      <w:r>
        <w:rPr>
          <w:sz w:val="28"/>
          <w:szCs w:val="28"/>
        </w:rPr>
        <w:t xml:space="preserve">расширение мер социальной поддержки.</w:t>
      </w:r>
    </w:p>
    <w:p>
      <w:pPr>
        <w:rPr>
          <w:sz w:val="2"/>
        </w:rPr>
      </w:pPr>
    </w:p>
    <w:p>
      <w:pPr>
        <w:jc w:val="center"/>
        <w:rPr>
          <w:sz w:val="28"/>
          <w:szCs w:val="28"/>
        </w:rPr>
      </w:pPr>
    </w:p>
    <w:p>
      <w:pPr>
        <w:pStyle w:val="ConsPlusNormal"/>
        <w:jc w:val="center"/>
        <w:rPr>
          <w:sz w:val="8"/>
        </w:rPr>
      </w:pPr>
    </w:p>
    <w:p>
      <w:pPr>
        <w:pStyle w:val="ConsPlusNormal"/>
        <w:jc w:val="center"/>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Прогноз баланса трудовых ресурсов Оренбургской области</w:t>
      </w:r>
    </w:p>
    <w:p>
      <w:pPr>
        <w:pStyle w:val="ConsPlusNormal"/>
        <w:jc w:val="right"/>
        <w:rPr>
          <w:rFonts w:ascii="Times New Roman" w:hAnsi="Times New Roman" w:cs="Times New Roman"/>
          <w:sz w:val="28"/>
          <w:szCs w:val="28"/>
        </w:rPr>
      </w:pPr>
      <w:r>
        <w:rPr>
          <w:rFonts w:ascii="Times New Roman" w:hAnsi="Times New Roman" w:cs="Times New Roman"/>
          <w:sz w:val="28"/>
          <w:szCs w:val="28"/>
          <w:highlight w:val="white"/>
        </w:rPr>
        <w:t xml:space="preserve">(тыс. человек)</w:t>
      </w:r>
    </w:p>
    <w:tbl>
      <w:tblPr>
        <w:tblW w:w="9568" w:type="dxa"/>
        <w:tblInd w:w="-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728"/>
        <w:gridCol w:w="3667"/>
        <w:gridCol w:w="992"/>
        <w:gridCol w:w="992"/>
        <w:gridCol w:w="993"/>
        <w:gridCol w:w="1004"/>
        <w:gridCol w:w="1192"/>
      </w:tblGrid>
      <w:tr>
        <w:tc>
          <w:tcPr>
            <w:tcW w:w="728" w:type="dxa"/>
            <w:vMerge w:val="restart"/>
            <w:tcBorders>
              <w:bottom w:val="none" w:color="000000" w:sz="4" w:space="0"/>
            </w:tcBorders>
            <w:shd w:val="clear" w:color="ffffff" w:fill="ffffff"/>
          </w:tcPr>
          <w:p>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 п/п</w:t>
            </w:r>
          </w:p>
        </w:tc>
        <w:tc>
          <w:tcPr>
            <w:tcW w:w="3667" w:type="dxa"/>
            <w:vMerge w:val="restart"/>
            <w:tcBorders>
              <w:bottom w:val="none" w:color="000000" w:sz="4" w:space="0"/>
            </w:tcBorders>
            <w:shd w:val="clear" w:color="ffffff" w:fill="ffffff"/>
          </w:tcPr>
          <w:p>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Наименование</w:t>
            </w:r>
          </w:p>
        </w:tc>
        <w:tc>
          <w:tcPr>
            <w:tcW w:w="992" w:type="dxa"/>
            <w:vMerge w:val="restart"/>
            <w:tcBorders>
              <w:bottom w:val="none" w:color="000000" w:sz="4" w:space="0"/>
            </w:tcBorders>
            <w:shd w:val="clear" w:color="ffffff" w:fill="ffffff"/>
          </w:tcPr>
          <w:p>
            <w:pPr>
              <w:jc w:val="center"/>
              <w:rPr>
                <w:sz w:val="28"/>
                <w:szCs w:val="28"/>
              </w:rPr>
            </w:pPr>
            <w:r>
              <w:rPr>
                <w:sz w:val="28"/>
                <w:szCs w:val="28"/>
              </w:rPr>
              <w:t xml:space="preserve">2026 год</w:t>
            </w:r>
          </w:p>
        </w:tc>
        <w:tc>
          <w:tcPr>
            <w:tcW w:w="992" w:type="dxa"/>
            <w:vMerge w:val="restart"/>
            <w:tcBorders>
              <w:bottom w:val="none" w:color="000000" w:sz="4" w:space="0"/>
            </w:tcBorders>
            <w:shd w:val="clear" w:color="ffffff" w:fill="ffffff"/>
          </w:tcPr>
          <w:p>
            <w:pPr>
              <w:jc w:val="center"/>
              <w:rPr>
                <w:sz w:val="28"/>
                <w:szCs w:val="28"/>
              </w:rPr>
            </w:pPr>
            <w:r>
              <w:rPr>
                <w:sz w:val="28"/>
                <w:szCs w:val="28"/>
              </w:rPr>
              <w:t xml:space="preserve">2027 год</w:t>
            </w:r>
          </w:p>
        </w:tc>
        <w:tc>
          <w:tcPr>
            <w:tcW w:w="993" w:type="dxa"/>
            <w:vMerge w:val="restart"/>
            <w:tcBorders>
              <w:bottom w:val="none" w:color="000000" w:sz="4" w:space="0"/>
            </w:tcBorders>
            <w:shd w:val="clear" w:color="ffffff" w:fill="ffffff"/>
          </w:tcPr>
          <w:p>
            <w:pPr>
              <w:jc w:val="center"/>
              <w:rPr>
                <w:sz w:val="28"/>
                <w:szCs w:val="28"/>
              </w:rPr>
            </w:pPr>
            <w:r>
              <w:rPr>
                <w:sz w:val="28"/>
                <w:szCs w:val="28"/>
              </w:rPr>
              <w:t xml:space="preserve">2028 год</w:t>
            </w:r>
          </w:p>
        </w:tc>
        <w:tc>
          <w:tcPr>
            <w:tcW w:w="2196" w:type="dxa"/>
            <w:gridSpan w:val="2"/>
            <w:tcBorders>
              <w:bottom w:val="single" w:color="000000" w:sz="4" w:space="0"/>
            </w:tcBorders>
            <w:shd w:val="clear" w:color="ffffff" w:fill="ffffff"/>
          </w:tcPr>
          <w:p>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Справочно</w:t>
            </w:r>
          </w:p>
        </w:tc>
      </w:tr>
      <w:tr>
        <w:tc>
          <w:tcPr>
            <w:tcW w:w="728" w:type="dxa"/>
            <w:vMerge w:val="continue"/>
            <w:tcBorders>
              <w:bottom w:val="none" w:color="000000" w:sz="4" w:space="0"/>
            </w:tcBorders>
            <w:shd w:val="clear" w:color="ffffff" w:fill="ffffff"/>
          </w:tcPr>
          <w:p>
            <w:pPr>
              <w:pStyle w:val="ConsPlusNormal"/>
              <w:ind w:firstLine="0"/>
              <w:jc w:val="center"/>
              <w:rPr>
                <w:rFonts w:ascii="Times New Roman" w:hAnsi="Times New Roman" w:cs="Times New Roman"/>
                <w:sz w:val="28"/>
                <w:szCs w:val="28"/>
              </w:rPr>
            </w:pPr>
          </w:p>
        </w:tc>
        <w:tc>
          <w:tcPr>
            <w:tcW w:w="3667" w:type="dxa"/>
            <w:vMerge w:val="continue"/>
            <w:tcBorders>
              <w:bottom w:val="none" w:color="000000" w:sz="4" w:space="0"/>
            </w:tcBorders>
            <w:shd w:val="clear" w:color="ffffff" w:fill="ffffff"/>
          </w:tcPr>
          <w:p>
            <w:pPr>
              <w:pStyle w:val="ConsPlusNormal"/>
              <w:ind w:firstLine="0"/>
              <w:jc w:val="center"/>
              <w:rPr>
                <w:rFonts w:ascii="Times New Roman" w:hAnsi="Times New Roman" w:cs="Times New Roman"/>
                <w:sz w:val="28"/>
                <w:szCs w:val="28"/>
              </w:rPr>
            </w:pPr>
          </w:p>
        </w:tc>
        <w:tc>
          <w:tcPr>
            <w:tcW w:w="992" w:type="dxa"/>
            <w:vMerge w:val="continue"/>
            <w:tcBorders>
              <w:bottom w:val="none" w:color="000000" w:sz="4" w:space="0"/>
            </w:tcBorders>
            <w:shd w:val="clear" w:color="ffffff" w:fill="ffffff"/>
          </w:tcPr>
          <w:p>
            <w:pPr>
              <w:pStyle w:val="ConsPlusNormal"/>
              <w:ind w:firstLine="0"/>
              <w:jc w:val="center"/>
              <w:rPr>
                <w:rFonts w:ascii="Times New Roman" w:hAnsi="Times New Roman" w:cs="Times New Roman"/>
                <w:sz w:val="28"/>
                <w:szCs w:val="28"/>
              </w:rPr>
            </w:pPr>
          </w:p>
        </w:tc>
        <w:tc>
          <w:tcPr>
            <w:tcW w:w="992" w:type="dxa"/>
            <w:vMerge w:val="continue"/>
            <w:tcBorders>
              <w:bottom w:val="none" w:color="000000" w:sz="4" w:space="0"/>
            </w:tcBorders>
            <w:shd w:val="clear" w:color="ffffff" w:fill="ffffff"/>
          </w:tcPr>
          <w:p>
            <w:pPr>
              <w:pStyle w:val="ConsPlusNormal"/>
              <w:ind w:firstLine="0"/>
              <w:jc w:val="center"/>
              <w:rPr>
                <w:rFonts w:ascii="Times New Roman" w:hAnsi="Times New Roman" w:cs="Times New Roman"/>
                <w:sz w:val="28"/>
                <w:szCs w:val="28"/>
              </w:rPr>
            </w:pPr>
          </w:p>
        </w:tc>
        <w:tc>
          <w:tcPr>
            <w:tcW w:w="993" w:type="dxa"/>
            <w:vMerge w:val="continue"/>
            <w:tcBorders>
              <w:bottom w:val="none" w:color="000000" w:sz="4" w:space="0"/>
            </w:tcBorders>
            <w:shd w:val="clear" w:color="ffffff" w:fill="ffffff"/>
          </w:tcPr>
          <w:p>
            <w:pPr>
              <w:pStyle w:val="ConsPlusNormal"/>
              <w:ind w:firstLine="0"/>
              <w:jc w:val="center"/>
              <w:rPr>
                <w:rFonts w:ascii="Times New Roman" w:hAnsi="Times New Roman" w:cs="Times New Roman"/>
                <w:sz w:val="28"/>
                <w:szCs w:val="28"/>
              </w:rPr>
            </w:pPr>
          </w:p>
        </w:tc>
        <w:tc>
          <w:tcPr>
            <w:tcW w:w="1004" w:type="dxa"/>
            <w:tcBorders>
              <w:bottom w:val="none" w:color="000000" w:sz="4" w:space="0"/>
            </w:tcBorders>
            <w:shd w:val="clear" w:color="ffffff" w:fill="ffffff"/>
          </w:tcPr>
          <w:p>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2024 год</w:t>
            </w:r>
          </w:p>
        </w:tc>
        <w:tc>
          <w:tcPr>
            <w:tcW w:w="1192" w:type="dxa"/>
            <w:tcBorders>
              <w:bottom w:val="none" w:color="000000" w:sz="4" w:space="0"/>
            </w:tcBorders>
            <w:shd w:val="clear" w:color="ffffff" w:fill="ffffff"/>
          </w:tcPr>
          <w:p>
            <w:pPr>
              <w:jc w:val="center"/>
              <w:rPr>
                <w:sz w:val="28"/>
                <w:szCs w:val="28"/>
              </w:rPr>
            </w:pPr>
            <w:r>
              <w:rPr>
                <w:sz w:val="28"/>
                <w:szCs w:val="28"/>
              </w:rPr>
              <w:t xml:space="preserve">2025 год</w:t>
            </w:r>
          </w:p>
        </w:tc>
      </w:tr>
    </w:tbl>
    <w:p>
      <w:pPr>
        <w:rPr>
          <w:sz w:val="2"/>
          <w:szCs w:val="2"/>
        </w:rPr>
      </w:pPr>
    </w:p>
    <w:tbl>
      <w:tblPr>
        <w:tblW w:w="9568" w:type="dxa"/>
        <w:tblInd w:w="-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728"/>
        <w:gridCol w:w="3667"/>
        <w:gridCol w:w="992"/>
        <w:gridCol w:w="992"/>
        <w:gridCol w:w="993"/>
        <w:gridCol w:w="1004"/>
        <w:gridCol w:w="1192"/>
      </w:tblGrid>
      <w:tr>
        <w:trPr>
          <w:tblHeader/>
        </w:trPr>
        <w:tc>
          <w:tcPr>
            <w:tcW w:w="728" w:type="dxa"/>
            <w:tcBorders>
              <w:bottom w:val="single" w:color="000000" w:sz="4" w:space="0"/>
            </w:tcBorders>
            <w:shd w:val="clear" w:color="ffffff" w:fill="ffffff"/>
          </w:tcPr>
          <w:p>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1</w:t>
            </w:r>
          </w:p>
        </w:tc>
        <w:tc>
          <w:tcPr>
            <w:tcW w:w="3667" w:type="dxa"/>
            <w:shd w:val="clear" w:color="ffffff" w:fill="ffffff"/>
          </w:tcPr>
          <w:p>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2</w:t>
            </w:r>
          </w:p>
        </w:tc>
        <w:tc>
          <w:tcPr>
            <w:tcW w:w="992" w:type="dxa"/>
            <w:shd w:val="clear" w:color="ffffff" w:fill="ffffff"/>
          </w:tcPr>
          <w:p>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3</w:t>
            </w:r>
          </w:p>
        </w:tc>
        <w:tc>
          <w:tcPr>
            <w:tcW w:w="992" w:type="dxa"/>
            <w:shd w:val="clear" w:color="ffffff" w:fill="ffffff"/>
          </w:tcPr>
          <w:p>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4</w:t>
            </w:r>
          </w:p>
        </w:tc>
        <w:tc>
          <w:tcPr>
            <w:tcW w:w="993" w:type="dxa"/>
            <w:shd w:val="clear" w:color="ffffff" w:fill="ffffff"/>
          </w:tcPr>
          <w:p>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5</w:t>
            </w:r>
          </w:p>
        </w:tc>
        <w:tc>
          <w:tcPr>
            <w:tcW w:w="1004" w:type="dxa"/>
            <w:shd w:val="clear" w:color="ffffff" w:fill="ffffff"/>
          </w:tcPr>
          <w:p>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6</w:t>
            </w:r>
          </w:p>
        </w:tc>
        <w:tc>
          <w:tcPr>
            <w:tcW w:w="1192" w:type="dxa"/>
            <w:shd w:val="clear" w:color="ffffff" w:fill="ffffff"/>
          </w:tcPr>
          <w:p>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7</w:t>
            </w:r>
          </w:p>
        </w:tc>
      </w:tr>
      <w:tr>
        <w:tc>
          <w:tcPr>
            <w:tcW w:w="728" w:type="dxa"/>
            <w:vMerge w:val="restart"/>
            <w:shd w:val="clear" w:color="ffffff" w:fill="ffffff"/>
          </w:tcPr>
          <w:p>
            <w:pPr>
              <w:pStyle w:val="ConsPlusNormal"/>
              <w:ind w:firstLine="0"/>
              <w:jc w:val="center"/>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1.</w:t>
            </w:r>
          </w:p>
          <w:p>
            <w:pPr>
              <w:pStyle w:val="ConsPlusNormal"/>
              <w:ind w:firstLine="0"/>
              <w:jc w:val="center"/>
              <w:rPr>
                <w:rFonts w:ascii="Times New Roman" w:hAnsi="Times New Roman" w:cs="Times New Roman"/>
                <w:sz w:val="28"/>
                <w:szCs w:val="28"/>
              </w:rPr>
            </w:pPr>
          </w:p>
          <w:p>
            <w:pPr>
              <w:pStyle w:val="ConsPlusNormal"/>
              <w:ind w:firstLine="0"/>
              <w:jc w:val="center"/>
              <w:rPr>
                <w:rFonts w:ascii="Times New Roman" w:hAnsi="Times New Roman" w:cs="Times New Roman"/>
                <w:sz w:val="28"/>
                <w:szCs w:val="28"/>
              </w:rPr>
            </w:pPr>
          </w:p>
          <w:p>
            <w:pPr>
              <w:pStyle w:val="ConsPlusNormal"/>
              <w:ind w:firstLine="0"/>
              <w:jc w:val="center"/>
              <w:rPr>
                <w:rFonts w:ascii="Times New Roman" w:hAnsi="Times New Roman" w:cs="Times New Roman"/>
                <w:sz w:val="28"/>
                <w:szCs w:val="28"/>
              </w:rPr>
            </w:pPr>
          </w:p>
          <w:p>
            <w:pPr>
              <w:pStyle w:val="ConsPlusNormal"/>
              <w:ind w:firstLine="0"/>
              <w:jc w:val="center"/>
              <w:rPr>
                <w:rFonts w:ascii="Times New Roman" w:hAnsi="Times New Roman" w:cs="Times New Roman"/>
                <w:sz w:val="28"/>
                <w:szCs w:val="28"/>
              </w:rPr>
            </w:pPr>
          </w:p>
          <w:p>
            <w:pPr>
              <w:pStyle w:val="ConsPlusNormal"/>
              <w:ind w:firstLine="0"/>
              <w:jc w:val="center"/>
              <w:rPr>
                <w:rFonts w:ascii="Times New Roman" w:hAnsi="Times New Roman" w:cs="Times New Roman"/>
                <w:sz w:val="28"/>
                <w:szCs w:val="28"/>
              </w:rPr>
            </w:pPr>
          </w:p>
        </w:tc>
        <w:tc>
          <w:tcPr>
            <w:tcW w:w="3667" w:type="dxa"/>
            <w:shd w:val="clear" w:color="ffffff" w:fill="ffffff"/>
            <w:vAlign w:val="center"/>
          </w:tcPr>
          <w:p>
            <w:pPr>
              <w:jc w:val="both"/>
              <w:rPr>
                <w:bCs/>
                <w:sz w:val="28"/>
                <w:szCs w:val="28"/>
                <w:highlight w:val="white"/>
              </w:rPr>
            </w:pPr>
            <w:r>
              <w:rPr>
                <w:bCs/>
                <w:sz w:val="28"/>
                <w:szCs w:val="28"/>
                <w:highlight w:val="white"/>
              </w:rPr>
              <w:t xml:space="preserve">Численность трудовых ресурсов, в том числе:</w:t>
            </w:r>
          </w:p>
        </w:tc>
        <w:tc>
          <w:tcPr>
            <w:tcW w:w="992" w:type="dxa"/>
            <w:shd w:val="clear" w:color="ffffff" w:fill="ffffff"/>
            <w:vAlign w:val="center"/>
          </w:tcPr>
          <w:p>
            <w:pPr>
              <w:jc w:val="center"/>
              <w:rPr>
                <w:highlight w:val="white"/>
              </w:rPr>
            </w:pPr>
            <w:r>
              <w:rPr>
                <w:sz w:val="28"/>
                <w:szCs w:val="28"/>
                <w:highlight w:val="white"/>
              </w:rPr>
              <w:t xml:space="preserve">1036,2</w:t>
            </w:r>
          </w:p>
        </w:tc>
        <w:tc>
          <w:tcPr>
            <w:tcW w:w="992" w:type="dxa"/>
            <w:shd w:val="clear" w:color="ffffff" w:fill="ffffff"/>
            <w:vAlign w:val="center"/>
          </w:tcPr>
          <w:p>
            <w:pPr>
              <w:jc w:val="center"/>
              <w:rPr>
                <w:highlight w:val="white"/>
              </w:rPr>
            </w:pPr>
            <w:r>
              <w:rPr>
                <w:sz w:val="28"/>
                <w:szCs w:val="28"/>
                <w:highlight w:val="white"/>
              </w:rPr>
              <w:t xml:space="preserve">1035,4</w:t>
            </w:r>
          </w:p>
        </w:tc>
        <w:tc>
          <w:tcPr>
            <w:tcW w:w="993" w:type="dxa"/>
            <w:shd w:val="clear" w:color="ffffff" w:fill="ffffff"/>
            <w:vAlign w:val="center"/>
          </w:tcPr>
          <w:p>
            <w:pPr>
              <w:jc w:val="center"/>
              <w:rPr>
                <w:highlight w:val="white"/>
              </w:rPr>
            </w:pPr>
            <w:r>
              <w:rPr>
                <w:sz w:val="28"/>
                <w:szCs w:val="28"/>
                <w:highlight w:val="white"/>
              </w:rPr>
              <w:t xml:space="preserve">1034,9</w:t>
            </w:r>
          </w:p>
        </w:tc>
        <w:tc>
          <w:tcPr>
            <w:tcW w:w="1004" w:type="dxa"/>
            <w:shd w:val="clear" w:color="ffffff" w:fill="ffffff"/>
            <w:vAlign w:val="center"/>
          </w:tcPr>
          <w:p>
            <w:pPr>
              <w:jc w:val="center"/>
              <w:rPr>
                <w:highlight w:val="white"/>
              </w:rPr>
            </w:pPr>
            <w:r>
              <w:rPr>
                <w:sz w:val="28"/>
                <w:szCs w:val="28"/>
                <w:highlight w:val="white"/>
              </w:rPr>
              <w:t xml:space="preserve">1038,4</w:t>
            </w:r>
          </w:p>
        </w:tc>
        <w:tc>
          <w:tcPr>
            <w:tcW w:w="1192" w:type="dxa"/>
            <w:shd w:val="clear" w:color="ffffff" w:fill="ffffff"/>
            <w:vAlign w:val="center"/>
          </w:tcPr>
          <w:p>
            <w:pPr>
              <w:jc w:val="center"/>
              <w:rPr>
                <w:highlight w:val="white"/>
              </w:rPr>
            </w:pPr>
            <w:r>
              <w:rPr>
                <w:sz w:val="28"/>
                <w:szCs w:val="28"/>
                <w:highlight w:val="white"/>
              </w:rPr>
              <w:t xml:space="preserve">1037,2</w:t>
            </w:r>
          </w:p>
        </w:tc>
      </w:tr>
      <w:tr>
        <w:tc>
          <w:tcPr>
            <w:tcW w:w="728" w:type="dxa"/>
            <w:vMerge w:val="continue"/>
            <w:shd w:val="clear" w:color="ffffff" w:fill="ffffff"/>
          </w:tcPr>
          <w:p>
            <w:pPr>
              <w:pStyle w:val="ConsPlusNormal"/>
              <w:ind w:firstLine="0"/>
              <w:jc w:val="center"/>
              <w:rPr>
                <w:rFonts w:ascii="Times New Roman" w:hAnsi="Times New Roman" w:cs="Times New Roman"/>
                <w:sz w:val="28"/>
                <w:szCs w:val="28"/>
              </w:rPr>
            </w:pPr>
          </w:p>
        </w:tc>
        <w:tc>
          <w:tcPr>
            <w:tcW w:w="3667" w:type="dxa"/>
            <w:shd w:val="clear" w:color="ffffff" w:fill="ffffff"/>
            <w:vAlign w:val="center"/>
          </w:tcPr>
          <w:p>
            <w:pPr>
              <w:jc w:val="both"/>
              <w:rPr>
                <w:sz w:val="28"/>
                <w:szCs w:val="28"/>
                <w:highlight w:val="white"/>
              </w:rPr>
            </w:pPr>
            <w:r>
              <w:rPr>
                <w:sz w:val="28"/>
                <w:szCs w:val="28"/>
                <w:highlight w:val="white"/>
              </w:rPr>
              <w:t xml:space="preserve">трудоспособное население в трудоспособном возрасте</w:t>
            </w:r>
          </w:p>
        </w:tc>
        <w:tc>
          <w:tcPr>
            <w:tcW w:w="992" w:type="dxa"/>
            <w:shd w:val="clear" w:color="ffffff" w:fill="ffffff"/>
            <w:vAlign w:val="center"/>
          </w:tcPr>
          <w:p>
            <w:pPr>
              <w:jc w:val="center"/>
              <w:rPr>
                <w:highlight w:val="white"/>
              </w:rPr>
            </w:pPr>
            <w:r>
              <w:rPr>
                <w:sz w:val="28"/>
                <w:szCs w:val="28"/>
                <w:highlight w:val="white"/>
              </w:rPr>
              <w:t xml:space="preserve">961,1</w:t>
            </w:r>
          </w:p>
        </w:tc>
        <w:tc>
          <w:tcPr>
            <w:tcW w:w="992" w:type="dxa"/>
            <w:shd w:val="clear" w:color="ffffff" w:fill="ffffff"/>
            <w:vAlign w:val="center"/>
          </w:tcPr>
          <w:p>
            <w:pPr>
              <w:jc w:val="center"/>
              <w:rPr>
                <w:highlight w:val="white"/>
              </w:rPr>
            </w:pPr>
            <w:r>
              <w:rPr>
                <w:sz w:val="28"/>
                <w:szCs w:val="28"/>
                <w:highlight w:val="white"/>
              </w:rPr>
              <w:t xml:space="preserve">960,8</w:t>
            </w:r>
          </w:p>
        </w:tc>
        <w:tc>
          <w:tcPr>
            <w:tcW w:w="993" w:type="dxa"/>
            <w:shd w:val="clear" w:color="ffffff" w:fill="ffffff"/>
            <w:vAlign w:val="center"/>
          </w:tcPr>
          <w:p>
            <w:pPr>
              <w:jc w:val="center"/>
              <w:rPr>
                <w:highlight w:val="white"/>
              </w:rPr>
            </w:pPr>
            <w:r>
              <w:rPr>
                <w:sz w:val="28"/>
                <w:szCs w:val="28"/>
                <w:highlight w:val="white"/>
              </w:rPr>
              <w:t xml:space="preserve">960,5</w:t>
            </w:r>
          </w:p>
        </w:tc>
        <w:tc>
          <w:tcPr>
            <w:tcW w:w="1004" w:type="dxa"/>
            <w:shd w:val="clear" w:color="ffffff" w:fill="ffffff"/>
            <w:vAlign w:val="center"/>
          </w:tcPr>
          <w:p>
            <w:pPr>
              <w:jc w:val="center"/>
              <w:rPr>
                <w:highlight w:val="white"/>
              </w:rPr>
            </w:pPr>
            <w:r>
              <w:rPr>
                <w:sz w:val="28"/>
                <w:szCs w:val="28"/>
                <w:highlight w:val="white"/>
              </w:rPr>
              <w:t xml:space="preserve">961,7</w:t>
            </w:r>
          </w:p>
        </w:tc>
        <w:tc>
          <w:tcPr>
            <w:tcW w:w="1192" w:type="dxa"/>
            <w:shd w:val="clear" w:color="ffffff" w:fill="ffffff"/>
            <w:vAlign w:val="center"/>
          </w:tcPr>
          <w:p>
            <w:pPr>
              <w:jc w:val="center"/>
              <w:rPr>
                <w:highlight w:val="white"/>
              </w:rPr>
            </w:pPr>
            <w:r>
              <w:rPr>
                <w:sz w:val="28"/>
                <w:szCs w:val="28"/>
                <w:highlight w:val="white"/>
              </w:rPr>
              <w:t xml:space="preserve">961,4</w:t>
            </w:r>
          </w:p>
        </w:tc>
      </w:tr>
      <w:tr>
        <w:tc>
          <w:tcPr>
            <w:tcW w:w="728" w:type="dxa"/>
            <w:vMerge w:val="continue"/>
            <w:shd w:val="clear" w:color="ffffff" w:fill="ffffff"/>
          </w:tcPr>
          <w:p>
            <w:pPr>
              <w:pStyle w:val="ConsPlusNormal"/>
              <w:ind w:firstLine="0"/>
              <w:jc w:val="center"/>
              <w:rPr>
                <w:rFonts w:ascii="Times New Roman" w:hAnsi="Times New Roman" w:cs="Times New Roman"/>
                <w:sz w:val="28"/>
                <w:szCs w:val="28"/>
              </w:rPr>
            </w:pPr>
          </w:p>
        </w:tc>
        <w:tc>
          <w:tcPr>
            <w:tcW w:w="3667" w:type="dxa"/>
            <w:shd w:val="clear" w:color="ffffff" w:fill="ffffff"/>
            <w:vAlign w:val="center"/>
          </w:tcPr>
          <w:p>
            <w:pPr>
              <w:rPr>
                <w:sz w:val="28"/>
                <w:szCs w:val="28"/>
                <w:highlight w:val="white"/>
              </w:rPr>
            </w:pPr>
            <w:r>
              <w:rPr>
                <w:sz w:val="28"/>
                <w:szCs w:val="28"/>
                <w:highlight w:val="white"/>
              </w:rPr>
              <w:t xml:space="preserve">иностранные трудовые мигранты </w:t>
            </w:r>
          </w:p>
        </w:tc>
        <w:tc>
          <w:tcPr>
            <w:tcW w:w="992" w:type="dxa"/>
            <w:shd w:val="clear" w:color="ffffff" w:fill="ffffff"/>
            <w:vAlign w:val="center"/>
          </w:tcPr>
          <w:p>
            <w:pPr>
              <w:jc w:val="center"/>
              <w:rPr>
                <w:highlight w:val="white"/>
              </w:rPr>
            </w:pPr>
            <w:r>
              <w:rPr>
                <w:sz w:val="28"/>
                <w:szCs w:val="28"/>
                <w:highlight w:val="white"/>
              </w:rPr>
              <w:t xml:space="preserve">10,2</w:t>
            </w:r>
          </w:p>
        </w:tc>
        <w:tc>
          <w:tcPr>
            <w:tcW w:w="992" w:type="dxa"/>
            <w:shd w:val="clear" w:color="ffffff" w:fill="ffffff"/>
            <w:vAlign w:val="center"/>
          </w:tcPr>
          <w:p>
            <w:pPr>
              <w:jc w:val="center"/>
              <w:rPr>
                <w:highlight w:val="white"/>
              </w:rPr>
            </w:pPr>
            <w:r>
              <w:rPr>
                <w:sz w:val="28"/>
                <w:szCs w:val="28"/>
                <w:highlight w:val="white"/>
              </w:rPr>
              <w:t xml:space="preserve">10,2</w:t>
            </w:r>
          </w:p>
        </w:tc>
        <w:tc>
          <w:tcPr>
            <w:tcW w:w="993" w:type="dxa"/>
            <w:shd w:val="clear" w:color="ffffff" w:fill="ffffff"/>
            <w:vAlign w:val="center"/>
          </w:tcPr>
          <w:p>
            <w:pPr>
              <w:jc w:val="center"/>
              <w:rPr>
                <w:highlight w:val="white"/>
              </w:rPr>
            </w:pPr>
            <w:r>
              <w:rPr>
                <w:sz w:val="28"/>
                <w:szCs w:val="28"/>
                <w:highlight w:val="white"/>
              </w:rPr>
              <w:t xml:space="preserve">10,2</w:t>
            </w:r>
          </w:p>
        </w:tc>
        <w:tc>
          <w:tcPr>
            <w:tcW w:w="1004" w:type="dxa"/>
            <w:shd w:val="clear" w:color="ffffff" w:fill="ffffff"/>
            <w:vAlign w:val="center"/>
          </w:tcPr>
          <w:p>
            <w:pPr>
              <w:jc w:val="center"/>
              <w:rPr>
                <w:highlight w:val="white"/>
              </w:rPr>
            </w:pPr>
            <w:r>
              <w:rPr>
                <w:sz w:val="28"/>
                <w:szCs w:val="28"/>
                <w:highlight w:val="white"/>
              </w:rPr>
              <w:t xml:space="preserve">10,2</w:t>
            </w:r>
          </w:p>
        </w:tc>
        <w:tc>
          <w:tcPr>
            <w:tcW w:w="1192" w:type="dxa"/>
            <w:shd w:val="clear" w:color="ffffff" w:fill="ffffff"/>
            <w:vAlign w:val="center"/>
          </w:tcPr>
          <w:p>
            <w:pPr>
              <w:jc w:val="center"/>
              <w:rPr>
                <w:highlight w:val="white"/>
              </w:rPr>
            </w:pPr>
            <w:r>
              <w:rPr>
                <w:sz w:val="28"/>
                <w:szCs w:val="28"/>
                <w:highlight w:val="white"/>
              </w:rPr>
              <w:t xml:space="preserve">10,2</w:t>
            </w:r>
          </w:p>
        </w:tc>
      </w:tr>
      <w:tr>
        <w:tc>
          <w:tcPr>
            <w:tcW w:w="728" w:type="dxa"/>
            <w:vMerge w:val="continue"/>
            <w:shd w:val="clear" w:color="ffffff" w:fill="ffffff"/>
          </w:tcPr>
          <w:p>
            <w:pPr>
              <w:pStyle w:val="ConsPlusNormal"/>
              <w:ind w:firstLine="0"/>
              <w:jc w:val="center"/>
              <w:rPr>
                <w:rFonts w:ascii="Times New Roman" w:hAnsi="Times New Roman" w:cs="Times New Roman"/>
                <w:sz w:val="28"/>
                <w:szCs w:val="28"/>
              </w:rPr>
            </w:pPr>
          </w:p>
        </w:tc>
        <w:tc>
          <w:tcPr>
            <w:tcW w:w="3667" w:type="dxa"/>
            <w:shd w:val="clear" w:color="ffffff" w:fill="ffffff"/>
            <w:vAlign w:val="center"/>
          </w:tcPr>
          <w:p>
            <w:pPr>
              <w:rPr>
                <w:sz w:val="28"/>
                <w:szCs w:val="28"/>
                <w:highlight w:val="white"/>
              </w:rPr>
            </w:pPr>
            <w:r>
              <w:rPr>
                <w:sz w:val="28"/>
                <w:szCs w:val="28"/>
                <w:highlight w:val="white"/>
              </w:rPr>
              <w:t xml:space="preserve">лица старше трудоспособного возраста и подростки, занятые в экономике, в том числе:</w:t>
            </w:r>
          </w:p>
        </w:tc>
        <w:tc>
          <w:tcPr>
            <w:tcW w:w="992" w:type="dxa"/>
            <w:shd w:val="clear" w:color="ffffff" w:fill="ffffff"/>
            <w:vAlign w:val="center"/>
          </w:tcPr>
          <w:p>
            <w:pPr>
              <w:jc w:val="center"/>
              <w:rPr>
                <w:highlight w:val="white"/>
              </w:rPr>
            </w:pPr>
            <w:r>
              <w:rPr>
                <w:sz w:val="28"/>
                <w:szCs w:val="28"/>
                <w:highlight w:val="white"/>
              </w:rPr>
              <w:t xml:space="preserve">64,9</w:t>
            </w:r>
          </w:p>
        </w:tc>
        <w:tc>
          <w:tcPr>
            <w:tcW w:w="992" w:type="dxa"/>
            <w:shd w:val="clear" w:color="ffffff" w:fill="ffffff"/>
            <w:vAlign w:val="center"/>
          </w:tcPr>
          <w:p>
            <w:pPr>
              <w:jc w:val="center"/>
              <w:rPr>
                <w:highlight w:val="white"/>
              </w:rPr>
            </w:pPr>
            <w:r>
              <w:rPr>
                <w:sz w:val="28"/>
                <w:szCs w:val="28"/>
                <w:highlight w:val="white"/>
              </w:rPr>
              <w:t xml:space="preserve">64,4</w:t>
            </w:r>
          </w:p>
        </w:tc>
        <w:tc>
          <w:tcPr>
            <w:tcW w:w="993" w:type="dxa"/>
            <w:shd w:val="clear" w:color="ffffff" w:fill="ffffff"/>
            <w:vAlign w:val="center"/>
          </w:tcPr>
          <w:p>
            <w:pPr>
              <w:jc w:val="center"/>
              <w:rPr>
                <w:highlight w:val="white"/>
              </w:rPr>
            </w:pPr>
            <w:r>
              <w:rPr>
                <w:sz w:val="28"/>
                <w:szCs w:val="28"/>
                <w:highlight w:val="white"/>
              </w:rPr>
              <w:t xml:space="preserve">64,2</w:t>
            </w:r>
          </w:p>
        </w:tc>
        <w:tc>
          <w:tcPr>
            <w:tcW w:w="1004" w:type="dxa"/>
            <w:shd w:val="clear" w:color="ffffff" w:fill="ffffff"/>
            <w:vAlign w:val="center"/>
          </w:tcPr>
          <w:p>
            <w:pPr>
              <w:jc w:val="center"/>
              <w:rPr>
                <w:highlight w:val="white"/>
              </w:rPr>
            </w:pPr>
            <w:r>
              <w:rPr>
                <w:sz w:val="28"/>
                <w:szCs w:val="28"/>
                <w:highlight w:val="white"/>
              </w:rPr>
              <w:t xml:space="preserve">66,5</w:t>
            </w:r>
          </w:p>
        </w:tc>
        <w:tc>
          <w:tcPr>
            <w:tcW w:w="1192" w:type="dxa"/>
            <w:shd w:val="clear" w:color="ffffff" w:fill="ffffff"/>
            <w:vAlign w:val="center"/>
          </w:tcPr>
          <w:p>
            <w:pPr>
              <w:jc w:val="center"/>
              <w:rPr>
                <w:highlight w:val="white"/>
              </w:rPr>
            </w:pPr>
            <w:r>
              <w:rPr>
                <w:sz w:val="28"/>
                <w:szCs w:val="28"/>
                <w:highlight w:val="white"/>
              </w:rPr>
              <w:t xml:space="preserve">65,6</w:t>
            </w:r>
          </w:p>
        </w:tc>
      </w:tr>
      <w:tr>
        <w:tc>
          <w:tcPr>
            <w:tcW w:w="728" w:type="dxa"/>
            <w:vMerge w:val="continue"/>
            <w:shd w:val="clear" w:color="ffffff" w:fill="ffffff"/>
          </w:tcPr>
          <w:p>
            <w:pPr>
              <w:pStyle w:val="ConsPlusNormal"/>
              <w:ind w:firstLine="0"/>
              <w:jc w:val="center"/>
              <w:rPr>
                <w:rFonts w:ascii="Times New Roman" w:hAnsi="Times New Roman" w:cs="Times New Roman"/>
                <w:sz w:val="28"/>
                <w:szCs w:val="28"/>
              </w:rPr>
            </w:pPr>
          </w:p>
        </w:tc>
        <w:tc>
          <w:tcPr>
            <w:tcW w:w="3667" w:type="dxa"/>
            <w:shd w:val="clear" w:color="ffffff" w:fill="ffffff"/>
            <w:vAlign w:val="center"/>
          </w:tcPr>
          <w:p>
            <w:pPr>
              <w:rPr>
                <w:sz w:val="28"/>
                <w:szCs w:val="28"/>
                <w:highlight w:val="white"/>
              </w:rPr>
            </w:pPr>
            <w:r>
              <w:rPr>
                <w:sz w:val="28"/>
                <w:szCs w:val="28"/>
                <w:highlight w:val="white"/>
              </w:rPr>
              <w:t xml:space="preserve">лица старше трудоспособного возраста </w:t>
            </w:r>
          </w:p>
        </w:tc>
        <w:tc>
          <w:tcPr>
            <w:tcW w:w="992" w:type="dxa"/>
            <w:shd w:val="clear" w:color="ffffff" w:fill="ffffff"/>
            <w:vAlign w:val="center"/>
          </w:tcPr>
          <w:p>
            <w:pPr>
              <w:jc w:val="center"/>
              <w:rPr>
                <w:highlight w:val="white"/>
              </w:rPr>
            </w:pPr>
            <w:r>
              <w:rPr>
                <w:sz w:val="28"/>
                <w:szCs w:val="28"/>
                <w:highlight w:val="white"/>
              </w:rPr>
              <w:t xml:space="preserve">64,5</w:t>
            </w:r>
          </w:p>
        </w:tc>
        <w:tc>
          <w:tcPr>
            <w:tcW w:w="992" w:type="dxa"/>
            <w:shd w:val="clear" w:color="ffffff" w:fill="ffffff"/>
            <w:vAlign w:val="center"/>
          </w:tcPr>
          <w:p>
            <w:pPr>
              <w:jc w:val="center"/>
              <w:rPr>
                <w:highlight w:val="white"/>
              </w:rPr>
            </w:pPr>
            <w:r>
              <w:rPr>
                <w:sz w:val="28"/>
                <w:szCs w:val="28"/>
                <w:highlight w:val="white"/>
              </w:rPr>
              <w:t xml:space="preserve">64,0</w:t>
            </w:r>
          </w:p>
        </w:tc>
        <w:tc>
          <w:tcPr>
            <w:tcW w:w="993" w:type="dxa"/>
            <w:shd w:val="clear" w:color="ffffff" w:fill="ffffff"/>
            <w:vAlign w:val="center"/>
          </w:tcPr>
          <w:p>
            <w:pPr>
              <w:jc w:val="center"/>
              <w:rPr>
                <w:highlight w:val="white"/>
              </w:rPr>
            </w:pPr>
            <w:r>
              <w:rPr>
                <w:sz w:val="28"/>
                <w:szCs w:val="28"/>
                <w:highlight w:val="white"/>
              </w:rPr>
              <w:t xml:space="preserve">63,8</w:t>
            </w:r>
          </w:p>
        </w:tc>
        <w:tc>
          <w:tcPr>
            <w:tcW w:w="1004" w:type="dxa"/>
            <w:shd w:val="clear" w:color="ffffff" w:fill="ffffff"/>
            <w:vAlign w:val="center"/>
          </w:tcPr>
          <w:p>
            <w:pPr>
              <w:jc w:val="center"/>
              <w:rPr>
                <w:highlight w:val="white"/>
              </w:rPr>
            </w:pPr>
            <w:r>
              <w:rPr>
                <w:sz w:val="28"/>
                <w:szCs w:val="28"/>
                <w:highlight w:val="white"/>
              </w:rPr>
              <w:t xml:space="preserve">66,1</w:t>
            </w:r>
          </w:p>
        </w:tc>
        <w:tc>
          <w:tcPr>
            <w:tcW w:w="1192" w:type="dxa"/>
            <w:shd w:val="clear" w:color="ffffff" w:fill="ffffff"/>
            <w:vAlign w:val="center"/>
          </w:tcPr>
          <w:p>
            <w:pPr>
              <w:jc w:val="center"/>
              <w:rPr>
                <w:highlight w:val="white"/>
              </w:rPr>
            </w:pPr>
            <w:r>
              <w:rPr>
                <w:sz w:val="28"/>
                <w:szCs w:val="28"/>
                <w:highlight w:val="white"/>
              </w:rPr>
              <w:t xml:space="preserve">65,2</w:t>
            </w:r>
          </w:p>
        </w:tc>
      </w:tr>
      <w:tr>
        <w:tc>
          <w:tcPr>
            <w:tcW w:w="728" w:type="dxa"/>
            <w:vMerge w:val="continue"/>
            <w:shd w:val="clear" w:color="ffffff" w:fill="ffffff"/>
          </w:tcPr>
          <w:p>
            <w:pPr>
              <w:pStyle w:val="ConsPlusNormal"/>
              <w:ind w:firstLine="0"/>
              <w:jc w:val="center"/>
              <w:rPr>
                <w:rFonts w:ascii="Times New Roman" w:hAnsi="Times New Roman" w:cs="Times New Roman"/>
                <w:sz w:val="28"/>
                <w:szCs w:val="28"/>
              </w:rPr>
            </w:pPr>
          </w:p>
        </w:tc>
        <w:tc>
          <w:tcPr>
            <w:tcW w:w="3667" w:type="dxa"/>
            <w:shd w:val="clear" w:color="ffffff" w:fill="ffffff"/>
            <w:vAlign w:val="center"/>
          </w:tcPr>
          <w:p>
            <w:pPr>
              <w:rPr>
                <w:sz w:val="28"/>
                <w:szCs w:val="28"/>
                <w:highlight w:val="white"/>
              </w:rPr>
            </w:pPr>
            <w:r>
              <w:rPr>
                <w:sz w:val="28"/>
                <w:szCs w:val="28"/>
                <w:highlight w:val="white"/>
              </w:rPr>
              <w:t xml:space="preserve">подростки моложе трудоспособного возраста </w:t>
            </w:r>
          </w:p>
        </w:tc>
        <w:tc>
          <w:tcPr>
            <w:tcW w:w="992" w:type="dxa"/>
            <w:shd w:val="clear" w:color="ffffff" w:fill="ffffff"/>
            <w:vAlign w:val="center"/>
          </w:tcPr>
          <w:p>
            <w:pPr>
              <w:jc w:val="center"/>
              <w:rPr>
                <w:highlight w:val="white"/>
              </w:rPr>
            </w:pPr>
            <w:r>
              <w:rPr>
                <w:sz w:val="28"/>
                <w:szCs w:val="28"/>
                <w:highlight w:val="white"/>
              </w:rPr>
              <w:t xml:space="preserve">0,4</w:t>
            </w:r>
          </w:p>
        </w:tc>
        <w:tc>
          <w:tcPr>
            <w:tcW w:w="992" w:type="dxa"/>
            <w:shd w:val="clear" w:color="ffffff" w:fill="ffffff"/>
            <w:vAlign w:val="center"/>
          </w:tcPr>
          <w:p>
            <w:pPr>
              <w:jc w:val="center"/>
              <w:rPr>
                <w:highlight w:val="white"/>
              </w:rPr>
            </w:pPr>
            <w:r>
              <w:rPr>
                <w:sz w:val="28"/>
                <w:szCs w:val="28"/>
                <w:highlight w:val="white"/>
              </w:rPr>
              <w:t xml:space="preserve">0,4</w:t>
            </w:r>
          </w:p>
        </w:tc>
        <w:tc>
          <w:tcPr>
            <w:tcW w:w="993" w:type="dxa"/>
            <w:shd w:val="clear" w:color="ffffff" w:fill="ffffff"/>
            <w:vAlign w:val="center"/>
          </w:tcPr>
          <w:p>
            <w:pPr>
              <w:jc w:val="center"/>
              <w:rPr>
                <w:highlight w:val="white"/>
              </w:rPr>
            </w:pPr>
            <w:r>
              <w:rPr>
                <w:sz w:val="28"/>
                <w:szCs w:val="28"/>
                <w:highlight w:val="white"/>
              </w:rPr>
              <w:t xml:space="preserve">0,4</w:t>
            </w:r>
          </w:p>
        </w:tc>
        <w:tc>
          <w:tcPr>
            <w:tcW w:w="1004" w:type="dxa"/>
            <w:shd w:val="clear" w:color="ffffff" w:fill="ffffff"/>
            <w:vAlign w:val="center"/>
          </w:tcPr>
          <w:p>
            <w:pPr>
              <w:jc w:val="center"/>
              <w:rPr>
                <w:highlight w:val="white"/>
              </w:rPr>
            </w:pPr>
            <w:r>
              <w:rPr>
                <w:sz w:val="28"/>
                <w:szCs w:val="28"/>
                <w:highlight w:val="white"/>
              </w:rPr>
              <w:t xml:space="preserve">0,4</w:t>
            </w:r>
          </w:p>
        </w:tc>
        <w:tc>
          <w:tcPr>
            <w:tcW w:w="1192" w:type="dxa"/>
            <w:shd w:val="clear" w:color="ffffff" w:fill="ffffff"/>
            <w:vAlign w:val="center"/>
          </w:tcPr>
          <w:p>
            <w:pPr>
              <w:jc w:val="center"/>
              <w:rPr>
                <w:highlight w:val="white"/>
              </w:rPr>
            </w:pPr>
            <w:r>
              <w:rPr>
                <w:sz w:val="28"/>
                <w:szCs w:val="28"/>
                <w:highlight w:val="white"/>
              </w:rPr>
              <w:t xml:space="preserve">0,4</w:t>
            </w:r>
          </w:p>
        </w:tc>
      </w:tr>
      <w:tr>
        <w:tc>
          <w:tcPr>
            <w:tcW w:w="728" w:type="dxa"/>
            <w:vMerge w:val="restart"/>
            <w:shd w:val="clear" w:color="ffffff" w:fill="ffffff"/>
          </w:tcPr>
          <w:p>
            <w:pPr>
              <w:pStyle w:val="ConsPlusNormal"/>
              <w:ind w:firstLine="0"/>
              <w:jc w:val="center"/>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2.</w:t>
            </w:r>
          </w:p>
          <w:p>
            <w:pPr>
              <w:pStyle w:val="ConsPlusNormal"/>
              <w:ind w:firstLine="0"/>
              <w:jc w:val="center"/>
              <w:rPr>
                <w:rFonts w:ascii="Times New Roman" w:hAnsi="Times New Roman" w:cs="Times New Roman"/>
                <w:sz w:val="28"/>
                <w:szCs w:val="28"/>
              </w:rPr>
            </w:pPr>
          </w:p>
          <w:p>
            <w:pPr>
              <w:pStyle w:val="ConsPlusNormal"/>
              <w:ind w:firstLine="0"/>
              <w:rPr>
                <w:rFonts w:ascii="Times New Roman" w:hAnsi="Times New Roman" w:cs="Times New Roman"/>
                <w:sz w:val="28"/>
                <w:szCs w:val="28"/>
              </w:rPr>
            </w:pPr>
          </w:p>
          <w:p>
            <w:pPr>
              <w:pStyle w:val="ConsPlusNormal"/>
              <w:ind w:firstLine="0"/>
              <w:rPr>
                <w:rFonts w:ascii="Times New Roman" w:hAnsi="Times New Roman" w:cs="Times New Roman"/>
                <w:sz w:val="28"/>
                <w:szCs w:val="28"/>
              </w:rPr>
            </w:pPr>
          </w:p>
        </w:tc>
        <w:tc>
          <w:tcPr>
            <w:tcW w:w="3667" w:type="dxa"/>
            <w:shd w:val="clear" w:color="ffffff" w:fill="ffffff"/>
            <w:vAlign w:val="center"/>
          </w:tcPr>
          <w:p>
            <w:pPr>
              <w:jc w:val="both"/>
              <w:rPr>
                <w:bCs/>
                <w:sz w:val="28"/>
                <w:szCs w:val="28"/>
                <w:highlight w:val="white"/>
              </w:rPr>
            </w:pPr>
            <w:r>
              <w:rPr>
                <w:bCs/>
                <w:sz w:val="28"/>
                <w:szCs w:val="28"/>
                <w:highlight w:val="white"/>
              </w:rPr>
              <w:t xml:space="preserve">Распределение трудовых ресурсов:</w:t>
            </w:r>
          </w:p>
        </w:tc>
        <w:tc>
          <w:tcPr>
            <w:tcW w:w="992" w:type="dxa"/>
            <w:shd w:val="clear" w:color="ffffff" w:fill="ffffff"/>
            <w:vAlign w:val="center"/>
          </w:tcPr>
          <w:p>
            <w:pPr>
              <w:jc w:val="center"/>
              <w:rPr>
                <w:color w:val="ff0000"/>
                <w:sz w:val="28"/>
                <w:szCs w:val="28"/>
                <w:highlight w:val="white"/>
              </w:rPr>
            </w:pPr>
          </w:p>
        </w:tc>
        <w:tc>
          <w:tcPr>
            <w:tcW w:w="992" w:type="dxa"/>
            <w:shd w:val="clear" w:color="ffffff" w:fill="ffffff"/>
            <w:vAlign w:val="center"/>
          </w:tcPr>
          <w:p>
            <w:pPr>
              <w:jc w:val="center"/>
              <w:rPr>
                <w:color w:val="ff0000"/>
                <w:sz w:val="28"/>
                <w:szCs w:val="28"/>
                <w:highlight w:val="white"/>
              </w:rPr>
            </w:pPr>
          </w:p>
        </w:tc>
        <w:tc>
          <w:tcPr>
            <w:tcW w:w="993" w:type="dxa"/>
            <w:shd w:val="clear" w:color="ffffff" w:fill="ffffff"/>
            <w:vAlign w:val="center"/>
          </w:tcPr>
          <w:p>
            <w:pPr>
              <w:jc w:val="center"/>
              <w:rPr>
                <w:color w:val="ff0000"/>
                <w:sz w:val="28"/>
                <w:szCs w:val="28"/>
                <w:highlight w:val="white"/>
              </w:rPr>
            </w:pPr>
          </w:p>
        </w:tc>
        <w:tc>
          <w:tcPr>
            <w:tcW w:w="1004" w:type="dxa"/>
            <w:shd w:val="clear" w:color="ffffff" w:fill="ffffff"/>
            <w:vAlign w:val="center"/>
          </w:tcPr>
          <w:p>
            <w:pPr>
              <w:jc w:val="center"/>
              <w:rPr>
                <w:sz w:val="28"/>
                <w:szCs w:val="28"/>
                <w:highlight w:val="white"/>
              </w:rPr>
            </w:pPr>
          </w:p>
        </w:tc>
        <w:tc>
          <w:tcPr>
            <w:tcW w:w="1192" w:type="dxa"/>
            <w:shd w:val="clear" w:color="ffffff" w:fill="ffffff"/>
            <w:vAlign w:val="center"/>
          </w:tcPr>
          <w:p>
            <w:pPr>
              <w:jc w:val="center"/>
              <w:rPr>
                <w:color w:val="ff0000"/>
                <w:sz w:val="28"/>
                <w:szCs w:val="28"/>
                <w:highlight w:val="white"/>
              </w:rPr>
            </w:pPr>
          </w:p>
        </w:tc>
      </w:tr>
      <w:tr>
        <w:tc>
          <w:tcPr>
            <w:tcW w:w="728" w:type="dxa"/>
            <w:vMerge w:val="continue"/>
            <w:shd w:val="clear" w:color="ffffff" w:fill="ffffff"/>
          </w:tcPr>
          <w:p>
            <w:pPr>
              <w:pStyle w:val="ConsPlusNormal"/>
              <w:ind w:firstLine="0"/>
              <w:jc w:val="center"/>
              <w:rPr>
                <w:rFonts w:ascii="Times New Roman" w:hAnsi="Times New Roman" w:cs="Times New Roman"/>
                <w:sz w:val="28"/>
                <w:szCs w:val="28"/>
              </w:rPr>
            </w:pPr>
          </w:p>
        </w:tc>
        <w:tc>
          <w:tcPr>
            <w:tcW w:w="3667" w:type="dxa"/>
            <w:shd w:val="clear" w:color="ffffff" w:fill="ffffff"/>
            <w:vAlign w:val="center"/>
          </w:tcPr>
          <w:p>
            <w:pPr>
              <w:jc w:val="both"/>
              <w:rPr>
                <w:sz w:val="28"/>
                <w:szCs w:val="28"/>
                <w:highlight w:val="white"/>
              </w:rPr>
            </w:pPr>
            <w:r>
              <w:rPr>
                <w:sz w:val="28"/>
                <w:szCs w:val="28"/>
                <w:highlight w:val="white"/>
              </w:rPr>
              <w:t xml:space="preserve">среднегодовая численность занятых в экономике</w:t>
            </w:r>
          </w:p>
        </w:tc>
        <w:tc>
          <w:tcPr>
            <w:tcW w:w="992" w:type="dxa"/>
            <w:shd w:val="clear" w:color="ffffff" w:fill="ffffff"/>
            <w:vAlign w:val="center"/>
          </w:tcPr>
          <w:p>
            <w:pPr>
              <w:jc w:val="center"/>
              <w:rPr>
                <w:sz w:val="28"/>
                <w:szCs w:val="28"/>
                <w:highlight w:val="white"/>
              </w:rPr>
            </w:pPr>
            <w:r>
              <w:rPr>
                <w:sz w:val="28"/>
                <w:szCs w:val="28"/>
                <w:highlight w:val="white"/>
              </w:rPr>
              <w:t xml:space="preserve">866,3</w:t>
            </w:r>
          </w:p>
        </w:tc>
        <w:tc>
          <w:tcPr>
            <w:tcW w:w="992" w:type="dxa"/>
            <w:shd w:val="clear" w:color="ffffff" w:fill="ffffff"/>
            <w:vAlign w:val="center"/>
          </w:tcPr>
          <w:p>
            <w:pPr>
              <w:jc w:val="center"/>
              <w:rPr>
                <w:sz w:val="28"/>
                <w:szCs w:val="28"/>
                <w:highlight w:val="white"/>
              </w:rPr>
            </w:pPr>
            <w:r>
              <w:rPr>
                <w:sz w:val="28"/>
                <w:szCs w:val="28"/>
                <w:highlight w:val="white"/>
              </w:rPr>
              <w:t xml:space="preserve">866,6</w:t>
            </w:r>
          </w:p>
        </w:tc>
        <w:tc>
          <w:tcPr>
            <w:tcW w:w="993" w:type="dxa"/>
            <w:shd w:val="clear" w:color="ffffff" w:fill="ffffff"/>
            <w:vAlign w:val="center"/>
          </w:tcPr>
          <w:p>
            <w:pPr>
              <w:jc w:val="center"/>
              <w:rPr>
                <w:sz w:val="28"/>
                <w:szCs w:val="28"/>
                <w:highlight w:val="white"/>
              </w:rPr>
            </w:pPr>
            <w:r>
              <w:rPr>
                <w:sz w:val="28"/>
                <w:szCs w:val="28"/>
                <w:highlight w:val="white"/>
              </w:rPr>
              <w:t xml:space="preserve">866,8</w:t>
            </w:r>
          </w:p>
        </w:tc>
        <w:tc>
          <w:tcPr>
            <w:tcW w:w="1004" w:type="dxa"/>
            <w:shd w:val="clear" w:color="ffffff" w:fill="ffffff"/>
            <w:vAlign w:val="center"/>
          </w:tcPr>
          <w:p>
            <w:pPr>
              <w:jc w:val="center"/>
              <w:rPr>
                <w:sz w:val="28"/>
                <w:szCs w:val="28"/>
                <w:highlight w:val="white"/>
              </w:rPr>
            </w:pPr>
            <w:r>
              <w:rPr>
                <w:sz w:val="28"/>
                <w:szCs w:val="28"/>
                <w:highlight w:val="white"/>
              </w:rPr>
              <w:t xml:space="preserve">866,2</w:t>
            </w:r>
          </w:p>
        </w:tc>
        <w:tc>
          <w:tcPr>
            <w:tcW w:w="1192" w:type="dxa"/>
            <w:shd w:val="clear" w:color="ffffff" w:fill="ffffff"/>
            <w:vAlign w:val="center"/>
          </w:tcPr>
          <w:p>
            <w:pPr>
              <w:jc w:val="center"/>
              <w:rPr>
                <w:sz w:val="28"/>
                <w:szCs w:val="28"/>
                <w:highlight w:val="white"/>
              </w:rPr>
            </w:pPr>
            <w:r>
              <w:rPr>
                <w:sz w:val="28"/>
                <w:szCs w:val="28"/>
                <w:highlight w:val="white"/>
              </w:rPr>
              <w:t xml:space="preserve">866,1</w:t>
            </w:r>
          </w:p>
        </w:tc>
      </w:tr>
      <w:tr>
        <w:tc>
          <w:tcPr>
            <w:tcW w:w="728" w:type="dxa"/>
            <w:vMerge w:val="continue"/>
            <w:shd w:val="clear" w:color="ffffff" w:fill="ffffff"/>
          </w:tcPr>
          <w:p>
            <w:pPr>
              <w:pStyle w:val="ConsPlusNormal"/>
              <w:ind w:firstLine="0"/>
              <w:rPr>
                <w:rFonts w:ascii="Times New Roman" w:hAnsi="Times New Roman" w:cs="Times New Roman"/>
                <w:sz w:val="28"/>
                <w:szCs w:val="28"/>
              </w:rPr>
            </w:pPr>
          </w:p>
        </w:tc>
        <w:tc>
          <w:tcPr>
            <w:tcW w:w="3667" w:type="dxa"/>
            <w:shd w:val="clear" w:color="ffffff" w:fill="ffffff"/>
            <w:vAlign w:val="center"/>
          </w:tcPr>
          <w:p>
            <w:pPr>
              <w:jc w:val="both"/>
              <w:rPr>
                <w:sz w:val="28"/>
                <w:szCs w:val="28"/>
                <w:highlight w:val="white"/>
              </w:rPr>
            </w:pPr>
            <w:r>
              <w:rPr>
                <w:sz w:val="28"/>
                <w:szCs w:val="28"/>
                <w:highlight w:val="white"/>
              </w:rPr>
              <w:t xml:space="preserve">учащиеся в трудоспособном возрасте, обучающиеся с отрывом от работы</w:t>
            </w:r>
          </w:p>
        </w:tc>
        <w:tc>
          <w:tcPr>
            <w:tcW w:w="992" w:type="dxa"/>
            <w:shd w:val="clear" w:color="ffffff" w:fill="ffffff"/>
            <w:vAlign w:val="center"/>
          </w:tcPr>
          <w:p>
            <w:pPr>
              <w:jc w:val="center"/>
              <w:rPr>
                <w:sz w:val="28"/>
                <w:szCs w:val="28"/>
                <w:highlight w:val="white"/>
              </w:rPr>
            </w:pPr>
            <w:r>
              <w:rPr>
                <w:sz w:val="28"/>
                <w:szCs w:val="28"/>
                <w:highlight w:val="white"/>
              </w:rPr>
              <w:t xml:space="preserve">77,7</w:t>
            </w:r>
          </w:p>
        </w:tc>
        <w:tc>
          <w:tcPr>
            <w:tcW w:w="992" w:type="dxa"/>
            <w:shd w:val="clear" w:color="ffffff" w:fill="ffffff"/>
            <w:vAlign w:val="center"/>
          </w:tcPr>
          <w:p>
            <w:pPr>
              <w:jc w:val="center"/>
              <w:rPr>
                <w:sz w:val="28"/>
                <w:szCs w:val="28"/>
                <w:highlight w:val="white"/>
              </w:rPr>
            </w:pPr>
            <w:r>
              <w:rPr>
                <w:sz w:val="28"/>
                <w:szCs w:val="28"/>
                <w:highlight w:val="white"/>
              </w:rPr>
              <w:t xml:space="preserve">77,3</w:t>
            </w:r>
          </w:p>
        </w:tc>
        <w:tc>
          <w:tcPr>
            <w:tcW w:w="993" w:type="dxa"/>
            <w:shd w:val="clear" w:color="ffffff" w:fill="ffffff"/>
            <w:vAlign w:val="center"/>
          </w:tcPr>
          <w:p>
            <w:pPr>
              <w:jc w:val="center"/>
              <w:rPr>
                <w:sz w:val="28"/>
                <w:szCs w:val="28"/>
                <w:highlight w:val="white"/>
              </w:rPr>
            </w:pPr>
            <w:r>
              <w:rPr>
                <w:sz w:val="28"/>
                <w:szCs w:val="28"/>
                <w:highlight w:val="white"/>
              </w:rPr>
              <w:t xml:space="preserve">76,9</w:t>
            </w:r>
          </w:p>
        </w:tc>
        <w:tc>
          <w:tcPr>
            <w:tcW w:w="1004" w:type="dxa"/>
            <w:shd w:val="clear" w:color="ffffff" w:fill="ffffff"/>
            <w:vAlign w:val="center"/>
          </w:tcPr>
          <w:p>
            <w:pPr>
              <w:jc w:val="center"/>
              <w:rPr>
                <w:sz w:val="28"/>
                <w:szCs w:val="28"/>
                <w:highlight w:val="white"/>
              </w:rPr>
            </w:pPr>
            <w:r>
              <w:rPr>
                <w:sz w:val="28"/>
                <w:szCs w:val="28"/>
                <w:highlight w:val="white"/>
              </w:rPr>
              <w:t xml:space="preserve">78,5</w:t>
            </w:r>
          </w:p>
        </w:tc>
        <w:tc>
          <w:tcPr>
            <w:tcW w:w="1192" w:type="dxa"/>
            <w:shd w:val="clear" w:color="ffffff" w:fill="ffffff"/>
            <w:vAlign w:val="center"/>
          </w:tcPr>
          <w:p>
            <w:pPr>
              <w:jc w:val="center"/>
              <w:rPr>
                <w:sz w:val="28"/>
                <w:szCs w:val="28"/>
                <w:highlight w:val="white"/>
              </w:rPr>
            </w:pPr>
            <w:r>
              <w:rPr>
                <w:sz w:val="28"/>
                <w:szCs w:val="28"/>
                <w:highlight w:val="white"/>
              </w:rPr>
              <w:t xml:space="preserve">78,1</w:t>
            </w:r>
          </w:p>
        </w:tc>
      </w:tr>
      <w:tr>
        <w:tc>
          <w:tcPr>
            <w:tcW w:w="728" w:type="dxa"/>
            <w:vMerge w:val="continue"/>
            <w:shd w:val="clear" w:color="ffffff" w:fill="ffffff"/>
          </w:tcPr>
          <w:p>
            <w:pPr>
              <w:pStyle w:val="ConsPlusNormal"/>
              <w:ind w:firstLine="0"/>
              <w:rPr>
                <w:rFonts w:ascii="Times New Roman" w:hAnsi="Times New Roman" w:cs="Times New Roman"/>
                <w:sz w:val="28"/>
                <w:szCs w:val="28"/>
              </w:rPr>
            </w:pPr>
          </w:p>
        </w:tc>
        <w:tc>
          <w:tcPr>
            <w:tcW w:w="3667" w:type="dxa"/>
            <w:shd w:val="clear" w:color="ffffff" w:fill="ffffff"/>
            <w:vAlign w:val="center"/>
          </w:tcPr>
          <w:p>
            <w:pPr>
              <w:rPr>
                <w:sz w:val="28"/>
                <w:szCs w:val="28"/>
                <w:highlight w:val="white"/>
              </w:rPr>
            </w:pPr>
            <w:r>
              <w:rPr>
                <w:sz w:val="28"/>
                <w:szCs w:val="28"/>
                <w:highlight w:val="white"/>
              </w:rPr>
              <w:t xml:space="preserve">трудоспособное население в трудоспособном возрасте: военнослужащие, российские граждане, работающие за границей, безработные, домохозяйки и другое население</w:t>
            </w:r>
          </w:p>
        </w:tc>
        <w:tc>
          <w:tcPr>
            <w:tcW w:w="992" w:type="dxa"/>
            <w:shd w:val="clear" w:color="ffffff" w:fill="ffffff"/>
            <w:vAlign w:val="center"/>
          </w:tcPr>
          <w:p>
            <w:pPr>
              <w:jc w:val="center"/>
              <w:rPr>
                <w:sz w:val="28"/>
                <w:szCs w:val="28"/>
                <w:highlight w:val="white"/>
              </w:rPr>
            </w:pPr>
            <w:r>
              <w:rPr>
                <w:sz w:val="28"/>
                <w:szCs w:val="28"/>
                <w:highlight w:val="white"/>
              </w:rPr>
              <w:t xml:space="preserve">92,2</w:t>
            </w:r>
          </w:p>
        </w:tc>
        <w:tc>
          <w:tcPr>
            <w:tcW w:w="992" w:type="dxa"/>
            <w:shd w:val="clear" w:color="ffffff" w:fill="ffffff"/>
            <w:vAlign w:val="center"/>
          </w:tcPr>
          <w:p>
            <w:pPr>
              <w:jc w:val="center"/>
              <w:rPr>
                <w:sz w:val="28"/>
                <w:szCs w:val="28"/>
                <w:highlight w:val="white"/>
              </w:rPr>
            </w:pPr>
            <w:r>
              <w:rPr>
                <w:sz w:val="28"/>
                <w:szCs w:val="28"/>
                <w:highlight w:val="white"/>
              </w:rPr>
              <w:t xml:space="preserve">91,5</w:t>
            </w:r>
          </w:p>
        </w:tc>
        <w:tc>
          <w:tcPr>
            <w:tcW w:w="993" w:type="dxa"/>
            <w:shd w:val="clear" w:color="ffffff" w:fill="ffffff"/>
            <w:vAlign w:val="center"/>
          </w:tcPr>
          <w:p>
            <w:pPr>
              <w:jc w:val="center"/>
              <w:rPr>
                <w:sz w:val="28"/>
                <w:szCs w:val="28"/>
                <w:highlight w:val="white"/>
              </w:rPr>
            </w:pPr>
            <w:r>
              <w:rPr>
                <w:sz w:val="28"/>
                <w:szCs w:val="28"/>
                <w:highlight w:val="white"/>
              </w:rPr>
              <w:t xml:space="preserve">91,2</w:t>
            </w:r>
          </w:p>
        </w:tc>
        <w:tc>
          <w:tcPr>
            <w:tcW w:w="1004" w:type="dxa"/>
            <w:shd w:val="clear" w:color="ffffff" w:fill="ffffff"/>
            <w:vAlign w:val="center"/>
          </w:tcPr>
          <w:p>
            <w:pPr>
              <w:jc w:val="center"/>
              <w:rPr>
                <w:sz w:val="28"/>
                <w:szCs w:val="28"/>
                <w:highlight w:val="white"/>
              </w:rPr>
            </w:pPr>
            <w:r>
              <w:rPr>
                <w:sz w:val="28"/>
                <w:szCs w:val="28"/>
                <w:highlight w:val="white"/>
              </w:rPr>
              <w:t xml:space="preserve">93,7</w:t>
            </w:r>
          </w:p>
        </w:tc>
        <w:tc>
          <w:tcPr>
            <w:tcW w:w="1192" w:type="dxa"/>
            <w:shd w:val="clear" w:color="ffffff" w:fill="ffffff"/>
            <w:vAlign w:val="center"/>
          </w:tcPr>
          <w:p>
            <w:pPr>
              <w:jc w:val="center"/>
              <w:rPr>
                <w:sz w:val="28"/>
                <w:szCs w:val="28"/>
                <w:highlight w:val="white"/>
              </w:rPr>
            </w:pPr>
            <w:r>
              <w:rPr>
                <w:sz w:val="28"/>
                <w:szCs w:val="28"/>
                <w:highlight w:val="white"/>
              </w:rPr>
              <w:t xml:space="preserve">93,0</w:t>
            </w:r>
          </w:p>
        </w:tc>
      </w:tr>
      <w:tr>
        <w:tc>
          <w:tcPr>
            <w:tcW w:w="728" w:type="dxa"/>
            <w:vMerge w:val="restart"/>
            <w:shd w:val="clear" w:color="ffffff" w:fill="ffffff"/>
          </w:tcPr>
          <w:p>
            <w:pPr>
              <w:pStyle w:val="ConsPlusNormal"/>
              <w:ind w:firstLine="0"/>
              <w:jc w:val="center"/>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3.</w:t>
            </w:r>
          </w:p>
          <w:p>
            <w:pPr>
              <w:pStyle w:val="ConsPlusNormal"/>
              <w:ind w:firstLine="0"/>
              <w:jc w:val="center"/>
              <w:rPr>
                <w:rFonts w:ascii="Times New Roman" w:hAnsi="Times New Roman" w:cs="Times New Roman"/>
                <w:sz w:val="28"/>
                <w:szCs w:val="28"/>
              </w:rPr>
            </w:pPr>
          </w:p>
          <w:p>
            <w:pPr>
              <w:pStyle w:val="ConsPlusNormal"/>
              <w:ind w:firstLine="0"/>
              <w:rPr>
                <w:rFonts w:ascii="Times New Roman" w:hAnsi="Times New Roman" w:cs="Times New Roman"/>
                <w:sz w:val="28"/>
                <w:szCs w:val="28"/>
              </w:rPr>
            </w:pPr>
          </w:p>
          <w:p>
            <w:pPr>
              <w:pStyle w:val="ConsPlusNormal"/>
              <w:ind w:firstLine="0"/>
              <w:rPr>
                <w:rFonts w:ascii="Times New Roman" w:hAnsi="Times New Roman" w:cs="Times New Roman"/>
                <w:sz w:val="28"/>
                <w:szCs w:val="28"/>
              </w:rPr>
            </w:pPr>
          </w:p>
          <w:p>
            <w:pPr>
              <w:pStyle w:val="ConsPlusNormal"/>
              <w:ind w:firstLine="0"/>
              <w:rPr>
                <w:rFonts w:ascii="Times New Roman" w:hAnsi="Times New Roman" w:cs="Times New Roman"/>
                <w:sz w:val="28"/>
                <w:szCs w:val="28"/>
              </w:rPr>
            </w:pPr>
          </w:p>
          <w:p>
            <w:pPr>
              <w:pStyle w:val="ConsPlusNormal"/>
              <w:ind w:firstLine="0"/>
              <w:rPr>
                <w:rFonts w:ascii="Times New Roman" w:hAnsi="Times New Roman" w:cs="Times New Roman"/>
                <w:sz w:val="28"/>
                <w:szCs w:val="28"/>
              </w:rPr>
            </w:pPr>
          </w:p>
          <w:p>
            <w:pPr>
              <w:pStyle w:val="ConsPlusNormal"/>
              <w:ind w:firstLine="0"/>
              <w:rPr>
                <w:rFonts w:ascii="Times New Roman" w:hAnsi="Times New Roman" w:cs="Times New Roman"/>
                <w:sz w:val="28"/>
                <w:szCs w:val="28"/>
              </w:rPr>
            </w:pPr>
          </w:p>
          <w:p>
            <w:pPr>
              <w:pStyle w:val="ConsPlusNormal"/>
              <w:ind w:firstLine="0"/>
              <w:rPr>
                <w:rFonts w:ascii="Times New Roman" w:hAnsi="Times New Roman" w:cs="Times New Roman"/>
                <w:sz w:val="28"/>
                <w:szCs w:val="28"/>
              </w:rPr>
            </w:pPr>
          </w:p>
          <w:p>
            <w:pPr>
              <w:pStyle w:val="ConsPlusNormal"/>
              <w:ind w:firstLine="0"/>
              <w:rPr>
                <w:rFonts w:ascii="Times New Roman" w:hAnsi="Times New Roman" w:cs="Times New Roman"/>
                <w:sz w:val="28"/>
                <w:szCs w:val="28"/>
              </w:rPr>
            </w:pPr>
          </w:p>
          <w:p>
            <w:pPr>
              <w:pStyle w:val="ConsPlusNormal"/>
              <w:ind w:firstLine="0"/>
              <w:rPr>
                <w:rFonts w:ascii="Times New Roman" w:hAnsi="Times New Roman" w:cs="Times New Roman"/>
                <w:sz w:val="28"/>
                <w:szCs w:val="28"/>
              </w:rPr>
            </w:pPr>
          </w:p>
          <w:p>
            <w:pPr>
              <w:pStyle w:val="ConsPlusNormal"/>
              <w:ind w:firstLine="0"/>
              <w:rPr>
                <w:rFonts w:ascii="Times New Roman" w:hAnsi="Times New Roman" w:cs="Times New Roman"/>
                <w:sz w:val="28"/>
                <w:szCs w:val="28"/>
              </w:rPr>
            </w:pPr>
          </w:p>
          <w:p>
            <w:pPr>
              <w:pStyle w:val="ConsPlusNormal"/>
              <w:ind w:firstLine="0"/>
              <w:rPr>
                <w:rFonts w:ascii="Times New Roman" w:hAnsi="Times New Roman" w:cs="Times New Roman"/>
                <w:sz w:val="28"/>
                <w:szCs w:val="28"/>
              </w:rPr>
            </w:pPr>
          </w:p>
          <w:p>
            <w:pPr>
              <w:pStyle w:val="ConsPlusNormal"/>
              <w:ind w:firstLine="0"/>
              <w:rPr>
                <w:rFonts w:ascii="Times New Roman" w:hAnsi="Times New Roman" w:cs="Times New Roman"/>
                <w:sz w:val="28"/>
                <w:szCs w:val="28"/>
              </w:rPr>
            </w:pPr>
          </w:p>
          <w:p>
            <w:pPr>
              <w:pStyle w:val="ConsPlusNormal"/>
              <w:ind w:firstLine="0"/>
              <w:rPr>
                <w:rFonts w:ascii="Times New Roman" w:hAnsi="Times New Roman" w:cs="Times New Roman"/>
                <w:sz w:val="28"/>
                <w:szCs w:val="28"/>
              </w:rPr>
            </w:pPr>
          </w:p>
          <w:p>
            <w:pPr>
              <w:pStyle w:val="ConsPlusNormal"/>
              <w:ind w:firstLine="0"/>
              <w:rPr>
                <w:rFonts w:ascii="Times New Roman" w:hAnsi="Times New Roman" w:cs="Times New Roman"/>
                <w:sz w:val="28"/>
                <w:szCs w:val="28"/>
              </w:rPr>
            </w:pPr>
          </w:p>
          <w:p>
            <w:pPr>
              <w:pStyle w:val="ConsPlusNormal"/>
              <w:ind w:firstLine="0"/>
              <w:rPr>
                <w:rFonts w:ascii="Times New Roman" w:hAnsi="Times New Roman" w:cs="Times New Roman"/>
                <w:sz w:val="28"/>
                <w:szCs w:val="28"/>
              </w:rPr>
            </w:pPr>
          </w:p>
          <w:p>
            <w:pPr>
              <w:pStyle w:val="ConsPlusNormal"/>
              <w:ind w:firstLine="0"/>
              <w:rPr>
                <w:rFonts w:ascii="Times New Roman" w:hAnsi="Times New Roman" w:cs="Times New Roman"/>
                <w:sz w:val="28"/>
                <w:szCs w:val="28"/>
              </w:rPr>
            </w:pPr>
          </w:p>
          <w:p>
            <w:pPr>
              <w:pStyle w:val="ConsPlusNormal"/>
              <w:ind w:firstLine="0"/>
              <w:rPr>
                <w:rFonts w:ascii="Times New Roman" w:hAnsi="Times New Roman" w:cs="Times New Roman"/>
                <w:sz w:val="28"/>
                <w:szCs w:val="28"/>
              </w:rPr>
            </w:pPr>
          </w:p>
          <w:p>
            <w:pPr>
              <w:pStyle w:val="ConsPlusNormal"/>
              <w:ind w:firstLine="0"/>
              <w:rPr>
                <w:rFonts w:ascii="Times New Roman" w:hAnsi="Times New Roman" w:cs="Times New Roman"/>
                <w:sz w:val="28"/>
                <w:szCs w:val="28"/>
              </w:rPr>
            </w:pPr>
          </w:p>
          <w:p>
            <w:pPr>
              <w:pStyle w:val="ConsPlusNormal"/>
              <w:ind w:firstLine="0"/>
              <w:rPr>
                <w:rFonts w:ascii="Times New Roman" w:hAnsi="Times New Roman" w:cs="Times New Roman"/>
                <w:sz w:val="28"/>
                <w:szCs w:val="28"/>
              </w:rPr>
            </w:pPr>
          </w:p>
          <w:p>
            <w:pPr>
              <w:pStyle w:val="ConsPlusNormal"/>
              <w:ind w:firstLine="0"/>
              <w:rPr>
                <w:rFonts w:ascii="Times New Roman" w:hAnsi="Times New Roman" w:cs="Times New Roman"/>
                <w:sz w:val="28"/>
                <w:szCs w:val="28"/>
              </w:rPr>
            </w:pPr>
          </w:p>
        </w:tc>
        <w:tc>
          <w:tcPr>
            <w:tcW w:w="3667" w:type="dxa"/>
            <w:shd w:val="clear" w:color="ffffff" w:fill="ffffff"/>
            <w:vAlign w:val="center"/>
          </w:tcPr>
          <w:p>
            <w:pPr>
              <w:jc w:val="both"/>
              <w:rPr>
                <w:bCs/>
                <w:sz w:val="28"/>
                <w:szCs w:val="28"/>
                <w:highlight w:val="white"/>
              </w:rPr>
            </w:pPr>
            <w:r>
              <w:rPr>
                <w:bCs/>
                <w:sz w:val="28"/>
                <w:szCs w:val="28"/>
                <w:highlight w:val="white"/>
              </w:rPr>
              <w:t xml:space="preserve">Распределение занятых в экономике по разделам </w:t>
            </w:r>
          </w:p>
          <w:p>
            <w:pPr>
              <w:jc w:val="both"/>
              <w:rPr>
                <w:bCs/>
                <w:sz w:val="28"/>
                <w:szCs w:val="28"/>
                <w:highlight w:val="white"/>
              </w:rPr>
            </w:pPr>
            <w:r>
              <w:rPr>
                <w:bCs/>
                <w:sz w:val="28"/>
                <w:szCs w:val="28"/>
                <w:highlight w:val="white"/>
              </w:rPr>
              <w:t xml:space="preserve">ОКВЭД:</w:t>
            </w:r>
          </w:p>
        </w:tc>
        <w:tc>
          <w:tcPr>
            <w:tcW w:w="992" w:type="dxa"/>
            <w:shd w:val="clear" w:color="ffffff" w:fill="ffffff"/>
          </w:tcPr>
          <w:p>
            <w:pPr>
              <w:jc w:val="right"/>
              <w:rPr>
                <w:color w:val="ff0000"/>
                <w:sz w:val="28"/>
                <w:szCs w:val="28"/>
                <w:highlight w:val="white"/>
              </w:rPr>
            </w:pPr>
          </w:p>
        </w:tc>
        <w:tc>
          <w:tcPr>
            <w:tcW w:w="992" w:type="dxa"/>
            <w:shd w:val="clear" w:color="ffffff" w:fill="ffffff"/>
          </w:tcPr>
          <w:p>
            <w:pPr>
              <w:jc w:val="right"/>
              <w:rPr>
                <w:color w:val="ff0000"/>
                <w:sz w:val="28"/>
                <w:szCs w:val="28"/>
                <w:highlight w:val="white"/>
              </w:rPr>
            </w:pPr>
          </w:p>
        </w:tc>
        <w:tc>
          <w:tcPr>
            <w:tcW w:w="993" w:type="dxa"/>
            <w:shd w:val="clear" w:color="ffffff" w:fill="ffffff"/>
          </w:tcPr>
          <w:p>
            <w:pPr>
              <w:jc w:val="right"/>
              <w:rPr>
                <w:color w:val="ff0000"/>
                <w:sz w:val="28"/>
                <w:szCs w:val="28"/>
                <w:highlight w:val="white"/>
              </w:rPr>
            </w:pPr>
          </w:p>
        </w:tc>
        <w:tc>
          <w:tcPr>
            <w:tcW w:w="1004" w:type="dxa"/>
            <w:shd w:val="clear" w:color="ffffff" w:fill="ffffff"/>
          </w:tcPr>
          <w:p>
            <w:pPr>
              <w:jc w:val="right"/>
              <w:rPr>
                <w:color w:val="ff0000"/>
                <w:sz w:val="28"/>
                <w:szCs w:val="28"/>
                <w:highlight w:val="white"/>
              </w:rPr>
            </w:pPr>
          </w:p>
        </w:tc>
        <w:tc>
          <w:tcPr>
            <w:tcW w:w="1192" w:type="dxa"/>
            <w:shd w:val="clear" w:color="ffffff" w:fill="ffffff"/>
          </w:tcPr>
          <w:p>
            <w:pPr>
              <w:jc w:val="right"/>
              <w:rPr>
                <w:sz w:val="28"/>
                <w:szCs w:val="28"/>
                <w:highlight w:val="white"/>
              </w:rPr>
            </w:pPr>
          </w:p>
        </w:tc>
      </w:tr>
      <w:tr>
        <w:tc>
          <w:tcPr>
            <w:tcW w:w="728" w:type="dxa"/>
            <w:vMerge w:val="continue"/>
            <w:shd w:val="clear" w:color="ffffff" w:fill="ffffff"/>
          </w:tcPr>
          <w:p>
            <w:pPr>
              <w:pStyle w:val="ConsPlusNormal"/>
              <w:ind w:firstLine="0"/>
              <w:jc w:val="center"/>
              <w:rPr>
                <w:rFonts w:ascii="Times New Roman" w:hAnsi="Times New Roman" w:cs="Times New Roman"/>
                <w:sz w:val="28"/>
                <w:szCs w:val="28"/>
              </w:rPr>
            </w:pPr>
          </w:p>
        </w:tc>
        <w:tc>
          <w:tcPr>
            <w:tcW w:w="3667" w:type="dxa"/>
            <w:shd w:val="clear" w:color="ffffff" w:fill="ffffff"/>
            <w:vAlign w:val="center"/>
          </w:tcPr>
          <w:p>
            <w:pPr>
              <w:jc w:val="both"/>
              <w:rPr>
                <w:sz w:val="28"/>
                <w:szCs w:val="28"/>
                <w:highlight w:val="white"/>
              </w:rPr>
            </w:pPr>
            <w:r>
              <w:rPr>
                <w:sz w:val="28"/>
                <w:szCs w:val="28"/>
                <w:highlight w:val="white"/>
              </w:rPr>
              <w:t xml:space="preserve">сельское, лесное хозяйство, охота, рыболовство и рыбоводство</w:t>
            </w:r>
          </w:p>
        </w:tc>
        <w:tc>
          <w:tcPr>
            <w:tcW w:w="992" w:type="dxa"/>
            <w:shd w:val="clear" w:color="ffffff" w:fill="ffffff"/>
            <w:vAlign w:val="center"/>
          </w:tcPr>
          <w:p>
            <w:pPr>
              <w:jc w:val="center"/>
              <w:rPr>
                <w:sz w:val="28"/>
                <w:szCs w:val="28"/>
                <w:highlight w:val="white"/>
              </w:rPr>
            </w:pPr>
            <w:r>
              <w:rPr>
                <w:sz w:val="28"/>
                <w:szCs w:val="28"/>
                <w:highlight w:val="white"/>
              </w:rPr>
              <w:t xml:space="preserve">85,8</w:t>
            </w:r>
          </w:p>
        </w:tc>
        <w:tc>
          <w:tcPr>
            <w:tcW w:w="992" w:type="dxa"/>
            <w:shd w:val="clear" w:color="ffffff" w:fill="ffffff"/>
            <w:vAlign w:val="center"/>
          </w:tcPr>
          <w:p>
            <w:pPr>
              <w:jc w:val="center"/>
              <w:rPr>
                <w:sz w:val="28"/>
                <w:szCs w:val="28"/>
                <w:highlight w:val="white"/>
              </w:rPr>
            </w:pPr>
            <w:r>
              <w:rPr>
                <w:sz w:val="28"/>
                <w:szCs w:val="28"/>
                <w:highlight w:val="white"/>
              </w:rPr>
              <w:t xml:space="preserve">83,8</w:t>
            </w:r>
          </w:p>
        </w:tc>
        <w:tc>
          <w:tcPr>
            <w:tcW w:w="993" w:type="dxa"/>
            <w:shd w:val="clear" w:color="ffffff" w:fill="ffffff"/>
            <w:vAlign w:val="center"/>
          </w:tcPr>
          <w:p>
            <w:pPr>
              <w:jc w:val="center"/>
              <w:rPr>
                <w:sz w:val="28"/>
                <w:szCs w:val="28"/>
                <w:highlight w:val="white"/>
              </w:rPr>
            </w:pPr>
            <w:r>
              <w:rPr>
                <w:sz w:val="28"/>
                <w:szCs w:val="28"/>
                <w:highlight w:val="white"/>
              </w:rPr>
              <w:t xml:space="preserve">81,8</w:t>
            </w:r>
          </w:p>
        </w:tc>
        <w:tc>
          <w:tcPr>
            <w:tcW w:w="1004" w:type="dxa"/>
            <w:shd w:val="clear" w:color="ffffff" w:fill="ffffff"/>
            <w:vAlign w:val="center"/>
          </w:tcPr>
          <w:p>
            <w:pPr>
              <w:jc w:val="center"/>
              <w:rPr>
                <w:sz w:val="28"/>
                <w:szCs w:val="28"/>
                <w:highlight w:val="white"/>
              </w:rPr>
            </w:pPr>
            <w:r>
              <w:rPr>
                <w:sz w:val="28"/>
                <w:szCs w:val="28"/>
                <w:highlight w:val="white"/>
              </w:rPr>
              <w:t xml:space="preserve">89,8</w:t>
            </w:r>
          </w:p>
        </w:tc>
        <w:tc>
          <w:tcPr>
            <w:tcW w:w="1192" w:type="dxa"/>
            <w:shd w:val="clear" w:color="ffffff" w:fill="ffffff"/>
            <w:vAlign w:val="center"/>
          </w:tcPr>
          <w:p>
            <w:pPr>
              <w:jc w:val="center"/>
              <w:rPr>
                <w:sz w:val="28"/>
                <w:szCs w:val="28"/>
                <w:highlight w:val="white"/>
              </w:rPr>
            </w:pPr>
            <w:r>
              <w:rPr>
                <w:sz w:val="28"/>
                <w:szCs w:val="28"/>
                <w:highlight w:val="white"/>
              </w:rPr>
              <w:t xml:space="preserve">87,8</w:t>
            </w:r>
          </w:p>
        </w:tc>
      </w:tr>
      <w:tr>
        <w:tc>
          <w:tcPr>
            <w:tcW w:w="728" w:type="dxa"/>
            <w:vMerge w:val="continue"/>
            <w:shd w:val="clear" w:color="ffffff" w:fill="ffffff"/>
          </w:tcPr>
          <w:p>
            <w:pPr>
              <w:pStyle w:val="ConsPlusNormal"/>
              <w:ind w:firstLine="0"/>
              <w:rPr>
                <w:rFonts w:ascii="Times New Roman" w:hAnsi="Times New Roman" w:cs="Times New Roman"/>
                <w:sz w:val="28"/>
                <w:szCs w:val="28"/>
              </w:rPr>
            </w:pPr>
          </w:p>
        </w:tc>
        <w:tc>
          <w:tcPr>
            <w:tcW w:w="3667" w:type="dxa"/>
            <w:shd w:val="clear" w:color="ffffff" w:fill="ffffff"/>
            <w:vAlign w:val="center"/>
          </w:tcPr>
          <w:p>
            <w:pPr>
              <w:jc w:val="both"/>
              <w:rPr>
                <w:sz w:val="28"/>
                <w:szCs w:val="28"/>
                <w:highlight w:val="white"/>
              </w:rPr>
            </w:pPr>
            <w:r>
              <w:rPr>
                <w:sz w:val="28"/>
                <w:szCs w:val="28"/>
                <w:highlight w:val="white"/>
              </w:rPr>
              <w:t xml:space="preserve">добыча полезных ископаемых</w:t>
            </w:r>
          </w:p>
        </w:tc>
        <w:tc>
          <w:tcPr>
            <w:tcW w:w="992" w:type="dxa"/>
            <w:shd w:val="clear" w:color="ffffff" w:fill="ffffff"/>
            <w:vAlign w:val="center"/>
          </w:tcPr>
          <w:p>
            <w:pPr>
              <w:jc w:val="center"/>
              <w:rPr>
                <w:sz w:val="28"/>
                <w:szCs w:val="28"/>
                <w:highlight w:val="white"/>
              </w:rPr>
            </w:pPr>
            <w:r>
              <w:rPr>
                <w:sz w:val="28"/>
                <w:szCs w:val="28"/>
                <w:highlight w:val="white"/>
              </w:rPr>
              <w:t xml:space="preserve">38,0</w:t>
            </w:r>
          </w:p>
        </w:tc>
        <w:tc>
          <w:tcPr>
            <w:tcW w:w="992" w:type="dxa"/>
            <w:shd w:val="clear" w:color="ffffff" w:fill="ffffff"/>
            <w:vAlign w:val="center"/>
          </w:tcPr>
          <w:p>
            <w:pPr>
              <w:jc w:val="center"/>
              <w:rPr>
                <w:sz w:val="28"/>
                <w:szCs w:val="28"/>
                <w:highlight w:val="white"/>
              </w:rPr>
            </w:pPr>
            <w:r>
              <w:rPr>
                <w:sz w:val="28"/>
                <w:szCs w:val="28"/>
                <w:highlight w:val="white"/>
              </w:rPr>
              <w:t xml:space="preserve">38,0</w:t>
            </w:r>
          </w:p>
        </w:tc>
        <w:tc>
          <w:tcPr>
            <w:tcW w:w="993" w:type="dxa"/>
            <w:shd w:val="clear" w:color="ffffff" w:fill="ffffff"/>
            <w:vAlign w:val="center"/>
          </w:tcPr>
          <w:p>
            <w:pPr>
              <w:jc w:val="center"/>
              <w:rPr>
                <w:sz w:val="28"/>
                <w:szCs w:val="28"/>
                <w:highlight w:val="white"/>
              </w:rPr>
            </w:pPr>
            <w:r>
              <w:rPr>
                <w:sz w:val="28"/>
                <w:szCs w:val="28"/>
                <w:highlight w:val="white"/>
              </w:rPr>
              <w:t xml:space="preserve">38,0</w:t>
            </w:r>
          </w:p>
        </w:tc>
        <w:tc>
          <w:tcPr>
            <w:tcW w:w="1004" w:type="dxa"/>
            <w:shd w:val="clear" w:color="ffffff" w:fill="ffffff"/>
            <w:vAlign w:val="center"/>
          </w:tcPr>
          <w:p>
            <w:pPr>
              <w:jc w:val="center"/>
              <w:rPr>
                <w:sz w:val="28"/>
                <w:szCs w:val="28"/>
                <w:highlight w:val="white"/>
              </w:rPr>
            </w:pPr>
            <w:r>
              <w:rPr>
                <w:sz w:val="28"/>
                <w:szCs w:val="28"/>
                <w:highlight w:val="white"/>
              </w:rPr>
              <w:t xml:space="preserve">38,1</w:t>
            </w:r>
          </w:p>
        </w:tc>
        <w:tc>
          <w:tcPr>
            <w:tcW w:w="1192" w:type="dxa"/>
            <w:shd w:val="clear" w:color="ffffff" w:fill="ffffff"/>
            <w:vAlign w:val="center"/>
          </w:tcPr>
          <w:p>
            <w:pPr>
              <w:jc w:val="center"/>
              <w:rPr>
                <w:sz w:val="28"/>
                <w:szCs w:val="28"/>
                <w:highlight w:val="white"/>
              </w:rPr>
            </w:pPr>
            <w:r>
              <w:rPr>
                <w:sz w:val="28"/>
                <w:szCs w:val="28"/>
                <w:highlight w:val="white"/>
              </w:rPr>
              <w:t xml:space="preserve">38,1</w:t>
            </w:r>
          </w:p>
        </w:tc>
      </w:tr>
      <w:tr>
        <w:tc>
          <w:tcPr>
            <w:tcW w:w="728" w:type="dxa"/>
            <w:vMerge w:val="continue"/>
            <w:shd w:val="clear" w:color="ffffff" w:fill="ffffff"/>
          </w:tcPr>
          <w:p>
            <w:pPr>
              <w:pStyle w:val="ConsPlusNormal"/>
              <w:ind w:firstLine="0"/>
              <w:rPr>
                <w:rFonts w:ascii="Times New Roman" w:hAnsi="Times New Roman" w:cs="Times New Roman"/>
                <w:sz w:val="28"/>
                <w:szCs w:val="28"/>
              </w:rPr>
            </w:pPr>
          </w:p>
        </w:tc>
        <w:tc>
          <w:tcPr>
            <w:tcW w:w="3667" w:type="dxa"/>
            <w:shd w:val="clear" w:color="ffffff" w:fill="ffffff"/>
            <w:vAlign w:val="center"/>
          </w:tcPr>
          <w:p>
            <w:pPr>
              <w:jc w:val="both"/>
              <w:rPr>
                <w:sz w:val="28"/>
                <w:szCs w:val="28"/>
                <w:highlight w:val="white"/>
              </w:rPr>
            </w:pPr>
            <w:r>
              <w:rPr>
                <w:sz w:val="28"/>
                <w:szCs w:val="28"/>
                <w:highlight w:val="white"/>
              </w:rPr>
              <w:t xml:space="preserve">обрабатывающие производства</w:t>
            </w:r>
          </w:p>
        </w:tc>
        <w:tc>
          <w:tcPr>
            <w:tcW w:w="992" w:type="dxa"/>
            <w:shd w:val="clear" w:color="ffffff" w:fill="ffffff"/>
            <w:vAlign w:val="center"/>
          </w:tcPr>
          <w:p>
            <w:pPr>
              <w:jc w:val="center"/>
              <w:rPr>
                <w:sz w:val="28"/>
                <w:szCs w:val="28"/>
                <w:highlight w:val="white"/>
              </w:rPr>
            </w:pPr>
            <w:r>
              <w:rPr>
                <w:sz w:val="28"/>
                <w:szCs w:val="28"/>
                <w:highlight w:val="white"/>
              </w:rPr>
              <w:t xml:space="preserve">109,5</w:t>
            </w:r>
          </w:p>
        </w:tc>
        <w:tc>
          <w:tcPr>
            <w:tcW w:w="992" w:type="dxa"/>
            <w:shd w:val="clear" w:color="ffffff" w:fill="ffffff"/>
            <w:vAlign w:val="center"/>
          </w:tcPr>
          <w:p>
            <w:pPr>
              <w:jc w:val="center"/>
              <w:rPr>
                <w:sz w:val="28"/>
                <w:szCs w:val="28"/>
                <w:highlight w:val="white"/>
              </w:rPr>
            </w:pPr>
            <w:r>
              <w:rPr>
                <w:sz w:val="28"/>
                <w:szCs w:val="28"/>
                <w:highlight w:val="white"/>
              </w:rPr>
              <w:t xml:space="preserve">110,3</w:t>
            </w:r>
          </w:p>
        </w:tc>
        <w:tc>
          <w:tcPr>
            <w:tcW w:w="993" w:type="dxa"/>
            <w:shd w:val="clear" w:color="ffffff" w:fill="ffffff"/>
            <w:vAlign w:val="center"/>
          </w:tcPr>
          <w:p>
            <w:pPr>
              <w:jc w:val="center"/>
              <w:rPr>
                <w:sz w:val="28"/>
                <w:szCs w:val="28"/>
                <w:highlight w:val="white"/>
              </w:rPr>
            </w:pPr>
            <w:r>
              <w:rPr>
                <w:sz w:val="28"/>
                <w:szCs w:val="28"/>
                <w:highlight w:val="white"/>
              </w:rPr>
              <w:t xml:space="preserve">111,1</w:t>
            </w:r>
          </w:p>
        </w:tc>
        <w:tc>
          <w:tcPr>
            <w:tcW w:w="1004" w:type="dxa"/>
            <w:shd w:val="clear" w:color="ffffff" w:fill="ffffff"/>
            <w:vAlign w:val="center"/>
          </w:tcPr>
          <w:p>
            <w:pPr>
              <w:jc w:val="center"/>
              <w:rPr>
                <w:sz w:val="28"/>
                <w:szCs w:val="28"/>
                <w:highlight w:val="white"/>
              </w:rPr>
            </w:pPr>
            <w:r>
              <w:rPr>
                <w:sz w:val="28"/>
                <w:szCs w:val="28"/>
                <w:highlight w:val="white"/>
              </w:rPr>
              <w:t xml:space="preserve">106,7</w:t>
            </w:r>
          </w:p>
        </w:tc>
        <w:tc>
          <w:tcPr>
            <w:tcW w:w="1192" w:type="dxa"/>
            <w:shd w:val="clear" w:color="ffffff" w:fill="ffffff"/>
            <w:vAlign w:val="center"/>
          </w:tcPr>
          <w:p>
            <w:pPr>
              <w:jc w:val="center"/>
              <w:rPr>
                <w:sz w:val="28"/>
                <w:szCs w:val="28"/>
                <w:highlight w:val="white"/>
              </w:rPr>
            </w:pPr>
            <w:r>
              <w:rPr>
                <w:sz w:val="28"/>
                <w:szCs w:val="28"/>
                <w:highlight w:val="white"/>
              </w:rPr>
              <w:t xml:space="preserve">108,7</w:t>
            </w:r>
          </w:p>
        </w:tc>
      </w:tr>
      <w:tr>
        <w:tc>
          <w:tcPr>
            <w:tcW w:w="728" w:type="dxa"/>
            <w:vMerge w:val="continue"/>
            <w:shd w:val="clear" w:color="ffffff" w:fill="ffffff"/>
          </w:tcPr>
          <w:p>
            <w:pPr>
              <w:pStyle w:val="ConsPlusNormal"/>
              <w:ind w:firstLine="0"/>
              <w:rPr>
                <w:rFonts w:ascii="Times New Roman" w:hAnsi="Times New Roman" w:cs="Times New Roman"/>
                <w:sz w:val="28"/>
                <w:szCs w:val="28"/>
              </w:rPr>
            </w:pPr>
          </w:p>
        </w:tc>
        <w:tc>
          <w:tcPr>
            <w:tcW w:w="3667" w:type="dxa"/>
            <w:shd w:val="clear" w:color="ffffff" w:fill="ffffff"/>
            <w:vAlign w:val="center"/>
          </w:tcPr>
          <w:p>
            <w:pPr>
              <w:jc w:val="both"/>
              <w:rPr>
                <w:sz w:val="28"/>
                <w:szCs w:val="28"/>
                <w:highlight w:val="white"/>
              </w:rPr>
            </w:pPr>
            <w:r>
              <w:rPr>
                <w:sz w:val="28"/>
                <w:szCs w:val="28"/>
                <w:highlight w:val="white"/>
              </w:rPr>
              <w:t xml:space="preserve">обеспечение электрической энергией, газом и паром; кондиционирование воздуха</w:t>
            </w:r>
          </w:p>
        </w:tc>
        <w:tc>
          <w:tcPr>
            <w:tcW w:w="992" w:type="dxa"/>
            <w:shd w:val="clear" w:color="ffffff" w:fill="ffffff"/>
            <w:vAlign w:val="center"/>
          </w:tcPr>
          <w:p>
            <w:pPr>
              <w:jc w:val="center"/>
              <w:rPr>
                <w:sz w:val="28"/>
                <w:szCs w:val="28"/>
                <w:highlight w:val="white"/>
              </w:rPr>
            </w:pPr>
            <w:r>
              <w:rPr>
                <w:sz w:val="28"/>
                <w:szCs w:val="28"/>
                <w:highlight w:val="white"/>
              </w:rPr>
              <w:t xml:space="preserve">20,9</w:t>
            </w:r>
          </w:p>
        </w:tc>
        <w:tc>
          <w:tcPr>
            <w:tcW w:w="992" w:type="dxa"/>
            <w:shd w:val="clear" w:color="ffffff" w:fill="ffffff"/>
            <w:vAlign w:val="center"/>
          </w:tcPr>
          <w:p>
            <w:pPr>
              <w:jc w:val="center"/>
              <w:rPr>
                <w:sz w:val="28"/>
                <w:szCs w:val="28"/>
                <w:highlight w:val="white"/>
              </w:rPr>
            </w:pPr>
            <w:r>
              <w:rPr>
                <w:sz w:val="28"/>
                <w:szCs w:val="28"/>
                <w:highlight w:val="white"/>
              </w:rPr>
              <w:t xml:space="preserve">20,8</w:t>
            </w:r>
          </w:p>
        </w:tc>
        <w:tc>
          <w:tcPr>
            <w:tcW w:w="993" w:type="dxa"/>
            <w:shd w:val="clear" w:color="ffffff" w:fill="ffffff"/>
            <w:vAlign w:val="center"/>
          </w:tcPr>
          <w:p>
            <w:pPr>
              <w:jc w:val="center"/>
              <w:rPr>
                <w:sz w:val="28"/>
                <w:szCs w:val="28"/>
                <w:highlight w:val="white"/>
              </w:rPr>
            </w:pPr>
            <w:r>
              <w:rPr>
                <w:sz w:val="28"/>
                <w:szCs w:val="28"/>
                <w:highlight w:val="white"/>
              </w:rPr>
              <w:t xml:space="preserve">20,7</w:t>
            </w:r>
          </w:p>
        </w:tc>
        <w:tc>
          <w:tcPr>
            <w:tcW w:w="1004" w:type="dxa"/>
            <w:shd w:val="clear" w:color="ffffff" w:fill="ffffff"/>
            <w:vAlign w:val="center"/>
          </w:tcPr>
          <w:p>
            <w:pPr>
              <w:jc w:val="center"/>
              <w:rPr>
                <w:sz w:val="28"/>
                <w:szCs w:val="28"/>
                <w:highlight w:val="white"/>
              </w:rPr>
            </w:pPr>
            <w:r>
              <w:rPr>
                <w:sz w:val="28"/>
                <w:szCs w:val="28"/>
                <w:highlight w:val="white"/>
              </w:rPr>
              <w:t xml:space="preserve">21,1</w:t>
            </w:r>
          </w:p>
        </w:tc>
        <w:tc>
          <w:tcPr>
            <w:tcW w:w="1192" w:type="dxa"/>
            <w:shd w:val="clear" w:color="ffffff" w:fill="ffffff"/>
            <w:vAlign w:val="center"/>
          </w:tcPr>
          <w:p>
            <w:pPr>
              <w:jc w:val="center"/>
              <w:rPr>
                <w:sz w:val="28"/>
                <w:szCs w:val="28"/>
                <w:highlight w:val="white"/>
              </w:rPr>
            </w:pPr>
            <w:r>
              <w:rPr>
                <w:sz w:val="28"/>
                <w:szCs w:val="28"/>
                <w:highlight w:val="white"/>
              </w:rPr>
              <w:t xml:space="preserve">21,0</w:t>
            </w:r>
          </w:p>
        </w:tc>
      </w:tr>
      <w:tr>
        <w:tc>
          <w:tcPr>
            <w:tcW w:w="728" w:type="dxa"/>
            <w:vMerge w:val="continue"/>
            <w:shd w:val="clear" w:color="ffffff" w:fill="ffffff"/>
          </w:tcPr>
          <w:p>
            <w:pPr>
              <w:pStyle w:val="ConsPlusNormal"/>
              <w:ind w:firstLine="0"/>
              <w:rPr>
                <w:rFonts w:ascii="Times New Roman" w:hAnsi="Times New Roman" w:cs="Times New Roman"/>
                <w:sz w:val="28"/>
                <w:szCs w:val="28"/>
              </w:rPr>
            </w:pPr>
          </w:p>
        </w:tc>
        <w:tc>
          <w:tcPr>
            <w:tcW w:w="3667" w:type="dxa"/>
            <w:shd w:val="clear" w:color="ffffff" w:fill="ffffff"/>
            <w:vAlign w:val="center"/>
          </w:tcPr>
          <w:p>
            <w:pPr>
              <w:jc w:val="both"/>
              <w:rPr>
                <w:sz w:val="28"/>
                <w:szCs w:val="28"/>
                <w:highlight w:val="white"/>
              </w:rPr>
            </w:pPr>
            <w:r>
              <w:rPr>
                <w:sz w:val="28"/>
                <w:szCs w:val="28"/>
                <w:highlight w:val="white"/>
              </w:rPr>
              <w:t xml:space="preserve">водоснабжение, водоотведение, организация сбора и утилизации отходов, деятельность по ликвидации загрязнений</w:t>
            </w:r>
          </w:p>
        </w:tc>
        <w:tc>
          <w:tcPr>
            <w:tcW w:w="992" w:type="dxa"/>
            <w:shd w:val="clear" w:color="ffffff" w:fill="ffffff"/>
            <w:vAlign w:val="center"/>
          </w:tcPr>
          <w:p>
            <w:pPr>
              <w:jc w:val="center"/>
              <w:rPr>
                <w:sz w:val="28"/>
                <w:szCs w:val="28"/>
                <w:highlight w:val="white"/>
              </w:rPr>
            </w:pPr>
            <w:r>
              <w:rPr>
                <w:sz w:val="28"/>
                <w:szCs w:val="28"/>
                <w:highlight w:val="white"/>
              </w:rPr>
              <w:t xml:space="preserve">8,0</w:t>
            </w:r>
          </w:p>
        </w:tc>
        <w:tc>
          <w:tcPr>
            <w:tcW w:w="992" w:type="dxa"/>
            <w:shd w:val="clear" w:color="ffffff" w:fill="ffffff"/>
            <w:vAlign w:val="center"/>
          </w:tcPr>
          <w:p>
            <w:pPr>
              <w:jc w:val="center"/>
              <w:rPr>
                <w:sz w:val="28"/>
                <w:szCs w:val="28"/>
                <w:highlight w:val="white"/>
              </w:rPr>
            </w:pPr>
            <w:r>
              <w:rPr>
                <w:sz w:val="28"/>
                <w:szCs w:val="28"/>
                <w:highlight w:val="white"/>
              </w:rPr>
              <w:t xml:space="preserve">7,9</w:t>
            </w:r>
          </w:p>
        </w:tc>
        <w:tc>
          <w:tcPr>
            <w:tcW w:w="993" w:type="dxa"/>
            <w:shd w:val="clear" w:color="ffffff" w:fill="ffffff"/>
            <w:vAlign w:val="center"/>
          </w:tcPr>
          <w:p>
            <w:pPr>
              <w:jc w:val="center"/>
              <w:rPr>
                <w:sz w:val="28"/>
                <w:szCs w:val="28"/>
                <w:highlight w:val="white"/>
              </w:rPr>
            </w:pPr>
            <w:r>
              <w:rPr>
                <w:sz w:val="28"/>
                <w:szCs w:val="28"/>
                <w:highlight w:val="white"/>
              </w:rPr>
              <w:t xml:space="preserve">7,8</w:t>
            </w:r>
          </w:p>
        </w:tc>
        <w:tc>
          <w:tcPr>
            <w:tcW w:w="1004" w:type="dxa"/>
            <w:shd w:val="clear" w:color="ffffff" w:fill="ffffff"/>
            <w:vAlign w:val="center"/>
          </w:tcPr>
          <w:p>
            <w:pPr>
              <w:jc w:val="center"/>
              <w:rPr>
                <w:sz w:val="28"/>
                <w:szCs w:val="28"/>
                <w:highlight w:val="white"/>
              </w:rPr>
            </w:pPr>
            <w:r>
              <w:rPr>
                <w:sz w:val="28"/>
                <w:szCs w:val="28"/>
                <w:highlight w:val="white"/>
              </w:rPr>
              <w:t xml:space="preserve">8,2</w:t>
            </w:r>
          </w:p>
        </w:tc>
        <w:tc>
          <w:tcPr>
            <w:tcW w:w="1192" w:type="dxa"/>
            <w:shd w:val="clear" w:color="ffffff" w:fill="ffffff"/>
            <w:vAlign w:val="center"/>
          </w:tcPr>
          <w:p>
            <w:pPr>
              <w:jc w:val="center"/>
              <w:rPr>
                <w:sz w:val="28"/>
                <w:szCs w:val="28"/>
                <w:highlight w:val="white"/>
              </w:rPr>
            </w:pPr>
            <w:r>
              <w:rPr>
                <w:sz w:val="28"/>
                <w:szCs w:val="28"/>
                <w:highlight w:val="white"/>
              </w:rPr>
              <w:t xml:space="preserve">8,1</w:t>
            </w:r>
          </w:p>
        </w:tc>
      </w:tr>
      <w:tr>
        <w:tc>
          <w:tcPr>
            <w:tcW w:w="728" w:type="dxa"/>
            <w:vMerge w:val="continue"/>
            <w:shd w:val="clear" w:color="ffffff" w:fill="ffffff"/>
          </w:tcPr>
          <w:p>
            <w:pPr>
              <w:pStyle w:val="ConsPlusNormal"/>
              <w:ind w:firstLine="0"/>
              <w:rPr>
                <w:rFonts w:ascii="Times New Roman" w:hAnsi="Times New Roman" w:cs="Times New Roman"/>
                <w:sz w:val="28"/>
                <w:szCs w:val="28"/>
              </w:rPr>
            </w:pPr>
          </w:p>
        </w:tc>
        <w:tc>
          <w:tcPr>
            <w:tcW w:w="3667" w:type="dxa"/>
            <w:shd w:val="clear" w:color="ffffff" w:fill="ffffff"/>
            <w:vAlign w:val="center"/>
          </w:tcPr>
          <w:p>
            <w:pPr>
              <w:jc w:val="both"/>
              <w:rPr>
                <w:sz w:val="28"/>
                <w:szCs w:val="28"/>
                <w:highlight w:val="white"/>
              </w:rPr>
            </w:pPr>
            <w:r>
              <w:rPr>
                <w:sz w:val="28"/>
                <w:szCs w:val="28"/>
                <w:highlight w:val="white"/>
              </w:rPr>
              <w:t xml:space="preserve">строительство</w:t>
            </w:r>
          </w:p>
        </w:tc>
        <w:tc>
          <w:tcPr>
            <w:tcW w:w="992" w:type="dxa"/>
            <w:shd w:val="clear" w:color="ffffff" w:fill="ffffff"/>
            <w:vAlign w:val="center"/>
          </w:tcPr>
          <w:p>
            <w:pPr>
              <w:jc w:val="center"/>
              <w:rPr>
                <w:sz w:val="28"/>
                <w:szCs w:val="28"/>
                <w:highlight w:val="white"/>
              </w:rPr>
            </w:pPr>
            <w:r>
              <w:rPr>
                <w:sz w:val="28"/>
                <w:szCs w:val="28"/>
                <w:highlight w:val="white"/>
              </w:rPr>
              <w:t xml:space="preserve">65,5</w:t>
            </w:r>
          </w:p>
        </w:tc>
        <w:tc>
          <w:tcPr>
            <w:tcW w:w="992" w:type="dxa"/>
            <w:shd w:val="clear" w:color="ffffff" w:fill="ffffff"/>
            <w:vAlign w:val="center"/>
          </w:tcPr>
          <w:p>
            <w:pPr>
              <w:jc w:val="center"/>
              <w:rPr>
                <w:sz w:val="28"/>
                <w:szCs w:val="28"/>
                <w:highlight w:val="white"/>
              </w:rPr>
            </w:pPr>
            <w:r>
              <w:rPr>
                <w:sz w:val="28"/>
                <w:szCs w:val="28"/>
                <w:highlight w:val="white"/>
              </w:rPr>
              <w:t xml:space="preserve">66,0</w:t>
            </w:r>
          </w:p>
        </w:tc>
        <w:tc>
          <w:tcPr>
            <w:tcW w:w="993" w:type="dxa"/>
            <w:shd w:val="clear" w:color="ffffff" w:fill="ffffff"/>
            <w:vAlign w:val="center"/>
          </w:tcPr>
          <w:p>
            <w:pPr>
              <w:jc w:val="center"/>
              <w:rPr>
                <w:sz w:val="28"/>
                <w:szCs w:val="28"/>
                <w:highlight w:val="white"/>
              </w:rPr>
            </w:pPr>
            <w:r>
              <w:rPr>
                <w:sz w:val="28"/>
                <w:szCs w:val="28"/>
                <w:highlight w:val="white"/>
              </w:rPr>
              <w:t xml:space="preserve">66,5</w:t>
            </w:r>
          </w:p>
        </w:tc>
        <w:tc>
          <w:tcPr>
            <w:tcW w:w="1004" w:type="dxa"/>
            <w:shd w:val="clear" w:color="ffffff" w:fill="ffffff"/>
            <w:vAlign w:val="center"/>
          </w:tcPr>
          <w:p>
            <w:pPr>
              <w:jc w:val="center"/>
              <w:rPr>
                <w:sz w:val="28"/>
                <w:szCs w:val="28"/>
                <w:highlight w:val="white"/>
              </w:rPr>
            </w:pPr>
            <w:r>
              <w:rPr>
                <w:sz w:val="28"/>
                <w:szCs w:val="28"/>
                <w:highlight w:val="white"/>
              </w:rPr>
              <w:t xml:space="preserve">66,5</w:t>
            </w:r>
          </w:p>
        </w:tc>
        <w:tc>
          <w:tcPr>
            <w:tcW w:w="1192" w:type="dxa"/>
            <w:shd w:val="clear" w:color="ffffff" w:fill="ffffff"/>
            <w:vAlign w:val="center"/>
          </w:tcPr>
          <w:p>
            <w:pPr>
              <w:jc w:val="center"/>
              <w:rPr>
                <w:sz w:val="28"/>
                <w:szCs w:val="28"/>
                <w:highlight w:val="white"/>
              </w:rPr>
            </w:pPr>
            <w:r>
              <w:rPr>
                <w:sz w:val="28"/>
                <w:szCs w:val="28"/>
                <w:highlight w:val="white"/>
              </w:rPr>
              <w:t xml:space="preserve">65,0</w:t>
            </w:r>
          </w:p>
        </w:tc>
      </w:tr>
      <w:tr>
        <w:tc>
          <w:tcPr>
            <w:tcW w:w="728" w:type="dxa"/>
            <w:vMerge w:val="continue"/>
            <w:shd w:val="clear" w:color="ffffff" w:fill="ffffff"/>
          </w:tcPr>
          <w:p>
            <w:pPr>
              <w:pStyle w:val="ConsPlusNormal"/>
              <w:ind w:firstLine="0"/>
              <w:rPr>
                <w:rFonts w:ascii="Times New Roman" w:hAnsi="Times New Roman" w:cs="Times New Roman"/>
                <w:sz w:val="28"/>
                <w:szCs w:val="28"/>
              </w:rPr>
            </w:pPr>
          </w:p>
        </w:tc>
        <w:tc>
          <w:tcPr>
            <w:tcW w:w="3667" w:type="dxa"/>
            <w:shd w:val="clear" w:color="ffffff" w:fill="ffffff"/>
            <w:vAlign w:val="center"/>
          </w:tcPr>
          <w:p>
            <w:pPr>
              <w:jc w:val="both"/>
              <w:rPr>
                <w:sz w:val="28"/>
                <w:szCs w:val="28"/>
                <w:highlight w:val="white"/>
              </w:rPr>
            </w:pPr>
            <w:r>
              <w:rPr>
                <w:sz w:val="28"/>
                <w:szCs w:val="28"/>
                <w:highlight w:val="white"/>
              </w:rPr>
              <w:t xml:space="preserve">торговля оптовая и розничная; ремонт автотранспортных средств и мотоциклов</w:t>
            </w:r>
          </w:p>
        </w:tc>
        <w:tc>
          <w:tcPr>
            <w:tcW w:w="992" w:type="dxa"/>
            <w:shd w:val="clear" w:color="ffffff" w:fill="ffffff"/>
            <w:vAlign w:val="center"/>
          </w:tcPr>
          <w:p>
            <w:pPr>
              <w:jc w:val="center"/>
              <w:rPr>
                <w:sz w:val="28"/>
                <w:szCs w:val="28"/>
                <w:highlight w:val="white"/>
              </w:rPr>
            </w:pPr>
            <w:r>
              <w:rPr>
                <w:sz w:val="28"/>
                <w:szCs w:val="28"/>
                <w:highlight w:val="white"/>
              </w:rPr>
              <w:t xml:space="preserve">153,8</w:t>
            </w:r>
          </w:p>
        </w:tc>
        <w:tc>
          <w:tcPr>
            <w:tcW w:w="992" w:type="dxa"/>
            <w:shd w:val="clear" w:color="ffffff" w:fill="ffffff"/>
            <w:vAlign w:val="center"/>
          </w:tcPr>
          <w:p>
            <w:pPr>
              <w:jc w:val="center"/>
              <w:rPr>
                <w:sz w:val="28"/>
                <w:szCs w:val="28"/>
                <w:highlight w:val="white"/>
              </w:rPr>
            </w:pPr>
            <w:r>
              <w:rPr>
                <w:sz w:val="28"/>
                <w:szCs w:val="28"/>
                <w:highlight w:val="white"/>
              </w:rPr>
              <w:t xml:space="preserve">154,0</w:t>
            </w:r>
          </w:p>
        </w:tc>
        <w:tc>
          <w:tcPr>
            <w:tcW w:w="993" w:type="dxa"/>
            <w:shd w:val="clear" w:color="ffffff" w:fill="ffffff"/>
            <w:vAlign w:val="center"/>
          </w:tcPr>
          <w:p>
            <w:pPr>
              <w:jc w:val="center"/>
              <w:rPr>
                <w:sz w:val="28"/>
                <w:szCs w:val="28"/>
                <w:highlight w:val="white"/>
              </w:rPr>
            </w:pPr>
            <w:r>
              <w:rPr>
                <w:sz w:val="28"/>
                <w:szCs w:val="28"/>
                <w:highlight w:val="white"/>
              </w:rPr>
              <w:t xml:space="preserve">154,2</w:t>
            </w:r>
          </w:p>
        </w:tc>
        <w:tc>
          <w:tcPr>
            <w:tcW w:w="1004" w:type="dxa"/>
            <w:shd w:val="clear" w:color="ffffff" w:fill="ffffff"/>
            <w:vAlign w:val="center"/>
          </w:tcPr>
          <w:p>
            <w:pPr>
              <w:jc w:val="center"/>
              <w:rPr>
                <w:sz w:val="28"/>
                <w:szCs w:val="28"/>
                <w:highlight w:val="white"/>
              </w:rPr>
            </w:pPr>
            <w:r>
              <w:rPr>
                <w:sz w:val="28"/>
                <w:szCs w:val="28"/>
                <w:highlight w:val="white"/>
              </w:rPr>
              <w:t xml:space="preserve">153,4</w:t>
            </w:r>
          </w:p>
        </w:tc>
        <w:tc>
          <w:tcPr>
            <w:tcW w:w="1192" w:type="dxa"/>
            <w:shd w:val="clear" w:color="ffffff" w:fill="ffffff"/>
            <w:vAlign w:val="center"/>
          </w:tcPr>
          <w:p>
            <w:pPr>
              <w:jc w:val="center"/>
              <w:rPr>
                <w:sz w:val="28"/>
                <w:szCs w:val="28"/>
                <w:highlight w:val="white"/>
              </w:rPr>
            </w:pPr>
            <w:r>
              <w:rPr>
                <w:sz w:val="28"/>
                <w:szCs w:val="28"/>
                <w:highlight w:val="white"/>
              </w:rPr>
              <w:t xml:space="preserve">153,6</w:t>
            </w:r>
          </w:p>
        </w:tc>
      </w:tr>
      <w:tr>
        <w:tc>
          <w:tcPr>
            <w:tcW w:w="728" w:type="dxa"/>
            <w:vMerge w:val="continue"/>
            <w:shd w:val="clear" w:color="ffffff" w:fill="ffffff"/>
          </w:tcPr>
          <w:p>
            <w:pPr>
              <w:pStyle w:val="ConsPlusNormal"/>
              <w:ind w:firstLine="0"/>
              <w:rPr>
                <w:rFonts w:ascii="Times New Roman" w:hAnsi="Times New Roman" w:cs="Times New Roman"/>
                <w:sz w:val="28"/>
                <w:szCs w:val="28"/>
              </w:rPr>
            </w:pPr>
          </w:p>
        </w:tc>
        <w:tc>
          <w:tcPr>
            <w:tcW w:w="3667" w:type="dxa"/>
            <w:shd w:val="clear" w:color="ffffff" w:fill="ffffff"/>
            <w:vAlign w:val="center"/>
          </w:tcPr>
          <w:p>
            <w:pPr>
              <w:jc w:val="both"/>
              <w:rPr>
                <w:sz w:val="28"/>
                <w:szCs w:val="28"/>
                <w:highlight w:val="white"/>
              </w:rPr>
            </w:pPr>
            <w:r>
              <w:rPr>
                <w:sz w:val="28"/>
                <w:szCs w:val="28"/>
                <w:highlight w:val="white"/>
              </w:rPr>
              <w:t xml:space="preserve">транспортировка и хранение</w:t>
            </w:r>
          </w:p>
        </w:tc>
        <w:tc>
          <w:tcPr>
            <w:tcW w:w="992" w:type="dxa"/>
            <w:shd w:val="clear" w:color="ffffff" w:fill="ffffff"/>
            <w:vAlign w:val="center"/>
          </w:tcPr>
          <w:p>
            <w:pPr>
              <w:jc w:val="center"/>
              <w:rPr>
                <w:sz w:val="28"/>
                <w:szCs w:val="28"/>
                <w:highlight w:val="white"/>
              </w:rPr>
            </w:pPr>
            <w:r>
              <w:rPr>
                <w:sz w:val="28"/>
                <w:szCs w:val="28"/>
                <w:highlight w:val="white"/>
              </w:rPr>
              <w:t xml:space="preserve">70,0</w:t>
            </w:r>
          </w:p>
        </w:tc>
        <w:tc>
          <w:tcPr>
            <w:tcW w:w="992" w:type="dxa"/>
            <w:shd w:val="clear" w:color="ffffff" w:fill="ffffff"/>
            <w:vAlign w:val="center"/>
          </w:tcPr>
          <w:p>
            <w:pPr>
              <w:jc w:val="center"/>
              <w:rPr>
                <w:sz w:val="28"/>
                <w:szCs w:val="28"/>
                <w:highlight w:val="white"/>
              </w:rPr>
            </w:pPr>
            <w:r>
              <w:rPr>
                <w:sz w:val="28"/>
                <w:szCs w:val="28"/>
                <w:highlight w:val="white"/>
              </w:rPr>
              <w:t xml:space="preserve">70,2</w:t>
            </w:r>
          </w:p>
        </w:tc>
        <w:tc>
          <w:tcPr>
            <w:tcW w:w="993" w:type="dxa"/>
            <w:shd w:val="clear" w:color="ffffff" w:fill="ffffff"/>
            <w:vAlign w:val="center"/>
          </w:tcPr>
          <w:p>
            <w:pPr>
              <w:jc w:val="center"/>
              <w:rPr>
                <w:sz w:val="28"/>
                <w:szCs w:val="28"/>
                <w:highlight w:val="white"/>
              </w:rPr>
            </w:pPr>
            <w:r>
              <w:rPr>
                <w:sz w:val="28"/>
                <w:szCs w:val="28"/>
                <w:highlight w:val="white"/>
              </w:rPr>
              <w:t xml:space="preserve">70,4</w:t>
            </w:r>
          </w:p>
        </w:tc>
        <w:tc>
          <w:tcPr>
            <w:tcW w:w="1004" w:type="dxa"/>
            <w:shd w:val="clear" w:color="ffffff" w:fill="ffffff"/>
            <w:vAlign w:val="center"/>
          </w:tcPr>
          <w:p>
            <w:pPr>
              <w:jc w:val="center"/>
              <w:rPr>
                <w:sz w:val="28"/>
                <w:szCs w:val="28"/>
                <w:highlight w:val="white"/>
              </w:rPr>
            </w:pPr>
            <w:r>
              <w:rPr>
                <w:sz w:val="28"/>
                <w:szCs w:val="28"/>
                <w:highlight w:val="white"/>
              </w:rPr>
              <w:t xml:space="preserve">69,6</w:t>
            </w:r>
          </w:p>
        </w:tc>
        <w:tc>
          <w:tcPr>
            <w:tcW w:w="1192" w:type="dxa"/>
            <w:shd w:val="clear" w:color="ffffff" w:fill="ffffff"/>
            <w:vAlign w:val="center"/>
          </w:tcPr>
          <w:p>
            <w:pPr>
              <w:jc w:val="center"/>
              <w:rPr>
                <w:sz w:val="28"/>
                <w:szCs w:val="28"/>
                <w:highlight w:val="white"/>
              </w:rPr>
            </w:pPr>
            <w:r>
              <w:rPr>
                <w:sz w:val="28"/>
                <w:szCs w:val="28"/>
                <w:highlight w:val="white"/>
              </w:rPr>
              <w:t xml:space="preserve">69,8</w:t>
            </w:r>
          </w:p>
        </w:tc>
      </w:tr>
      <w:tr>
        <w:tc>
          <w:tcPr>
            <w:tcW w:w="728" w:type="dxa"/>
            <w:vMerge w:val="continue"/>
            <w:shd w:val="clear" w:color="ffffff" w:fill="ffffff"/>
          </w:tcPr>
          <w:p>
            <w:pPr>
              <w:pStyle w:val="ConsPlusNormal"/>
              <w:ind w:firstLine="0"/>
              <w:rPr>
                <w:rFonts w:ascii="Times New Roman" w:hAnsi="Times New Roman" w:cs="Times New Roman"/>
                <w:sz w:val="28"/>
                <w:szCs w:val="28"/>
              </w:rPr>
            </w:pPr>
          </w:p>
        </w:tc>
        <w:tc>
          <w:tcPr>
            <w:tcW w:w="3667" w:type="dxa"/>
            <w:shd w:val="clear" w:color="ffffff" w:fill="ffffff"/>
            <w:vAlign w:val="center"/>
          </w:tcPr>
          <w:p>
            <w:pPr>
              <w:jc w:val="both"/>
              <w:rPr>
                <w:sz w:val="28"/>
                <w:szCs w:val="28"/>
                <w:highlight w:val="white"/>
              </w:rPr>
            </w:pPr>
            <w:r>
              <w:rPr>
                <w:sz w:val="28"/>
                <w:szCs w:val="28"/>
                <w:highlight w:val="white"/>
              </w:rPr>
              <w:t xml:space="preserve">деятельность гостиниц и предприятий общественного питания</w:t>
            </w:r>
          </w:p>
        </w:tc>
        <w:tc>
          <w:tcPr>
            <w:tcW w:w="992" w:type="dxa"/>
            <w:shd w:val="clear" w:color="ffffff" w:fill="ffffff"/>
            <w:vAlign w:val="center"/>
          </w:tcPr>
          <w:p>
            <w:pPr>
              <w:jc w:val="center"/>
              <w:rPr>
                <w:sz w:val="28"/>
                <w:szCs w:val="28"/>
                <w:highlight w:val="white"/>
              </w:rPr>
            </w:pPr>
            <w:r>
              <w:rPr>
                <w:sz w:val="28"/>
                <w:szCs w:val="28"/>
                <w:highlight w:val="white"/>
              </w:rPr>
              <w:t xml:space="preserve">18,7</w:t>
            </w:r>
          </w:p>
        </w:tc>
        <w:tc>
          <w:tcPr>
            <w:tcW w:w="992" w:type="dxa"/>
            <w:shd w:val="clear" w:color="ffffff" w:fill="ffffff"/>
            <w:vAlign w:val="center"/>
          </w:tcPr>
          <w:p>
            <w:pPr>
              <w:jc w:val="center"/>
              <w:rPr>
                <w:sz w:val="28"/>
                <w:szCs w:val="28"/>
                <w:highlight w:val="white"/>
              </w:rPr>
            </w:pPr>
            <w:r>
              <w:rPr>
                <w:sz w:val="28"/>
                <w:szCs w:val="28"/>
                <w:highlight w:val="white"/>
              </w:rPr>
              <w:t xml:space="preserve">18,9</w:t>
            </w:r>
          </w:p>
        </w:tc>
        <w:tc>
          <w:tcPr>
            <w:tcW w:w="993" w:type="dxa"/>
            <w:shd w:val="clear" w:color="ffffff" w:fill="ffffff"/>
            <w:vAlign w:val="center"/>
          </w:tcPr>
          <w:p>
            <w:pPr>
              <w:jc w:val="center"/>
              <w:rPr>
                <w:sz w:val="28"/>
                <w:szCs w:val="28"/>
                <w:highlight w:val="white"/>
              </w:rPr>
            </w:pPr>
            <w:r>
              <w:rPr>
                <w:sz w:val="28"/>
                <w:szCs w:val="28"/>
                <w:highlight w:val="white"/>
              </w:rPr>
              <w:t xml:space="preserve">19,1</w:t>
            </w:r>
          </w:p>
        </w:tc>
        <w:tc>
          <w:tcPr>
            <w:tcW w:w="1004" w:type="dxa"/>
            <w:shd w:val="clear" w:color="ffffff" w:fill="ffffff"/>
            <w:vAlign w:val="center"/>
          </w:tcPr>
          <w:p>
            <w:pPr>
              <w:jc w:val="center"/>
              <w:rPr>
                <w:sz w:val="28"/>
                <w:szCs w:val="28"/>
                <w:highlight w:val="white"/>
              </w:rPr>
            </w:pPr>
            <w:r>
              <w:rPr>
                <w:sz w:val="28"/>
                <w:szCs w:val="28"/>
                <w:highlight w:val="white"/>
              </w:rPr>
              <w:t xml:space="preserve">18,3</w:t>
            </w:r>
          </w:p>
        </w:tc>
        <w:tc>
          <w:tcPr>
            <w:tcW w:w="1192" w:type="dxa"/>
            <w:shd w:val="clear" w:color="ffffff" w:fill="ffffff"/>
            <w:vAlign w:val="center"/>
          </w:tcPr>
          <w:p>
            <w:pPr>
              <w:jc w:val="center"/>
              <w:rPr>
                <w:sz w:val="28"/>
                <w:szCs w:val="28"/>
                <w:highlight w:val="white"/>
              </w:rPr>
            </w:pPr>
            <w:r>
              <w:rPr>
                <w:sz w:val="28"/>
                <w:szCs w:val="28"/>
                <w:highlight w:val="white"/>
              </w:rPr>
              <w:t xml:space="preserve">18,5</w:t>
            </w:r>
          </w:p>
        </w:tc>
      </w:tr>
      <w:tr>
        <w:tc>
          <w:tcPr>
            <w:tcW w:w="728" w:type="dxa"/>
            <w:vMerge w:val="continue"/>
            <w:shd w:val="clear" w:color="ffffff" w:fill="ffffff"/>
          </w:tcPr>
          <w:p>
            <w:pPr>
              <w:pStyle w:val="ConsPlusNormal"/>
              <w:ind w:firstLine="0"/>
              <w:rPr>
                <w:rFonts w:ascii="Times New Roman" w:hAnsi="Times New Roman" w:cs="Times New Roman"/>
                <w:sz w:val="28"/>
                <w:szCs w:val="28"/>
              </w:rPr>
            </w:pPr>
          </w:p>
        </w:tc>
        <w:tc>
          <w:tcPr>
            <w:tcW w:w="3667" w:type="dxa"/>
            <w:shd w:val="clear" w:color="ffffff" w:fill="ffffff"/>
            <w:vAlign w:val="center"/>
          </w:tcPr>
          <w:p>
            <w:pPr>
              <w:jc w:val="both"/>
              <w:rPr>
                <w:sz w:val="28"/>
                <w:szCs w:val="28"/>
                <w:highlight w:val="white"/>
              </w:rPr>
            </w:pPr>
            <w:r>
              <w:rPr>
                <w:sz w:val="28"/>
                <w:szCs w:val="28"/>
                <w:highlight w:val="white"/>
              </w:rPr>
              <w:t xml:space="preserve">деятельность в области информации и связи</w:t>
            </w:r>
          </w:p>
        </w:tc>
        <w:tc>
          <w:tcPr>
            <w:tcW w:w="992" w:type="dxa"/>
            <w:shd w:val="clear" w:color="ffffff" w:fill="ffffff"/>
            <w:vAlign w:val="center"/>
          </w:tcPr>
          <w:p>
            <w:pPr>
              <w:jc w:val="center"/>
              <w:rPr>
                <w:sz w:val="28"/>
                <w:szCs w:val="28"/>
                <w:highlight w:val="white"/>
              </w:rPr>
            </w:pPr>
            <w:r>
              <w:rPr>
                <w:sz w:val="28"/>
                <w:szCs w:val="28"/>
                <w:highlight w:val="white"/>
              </w:rPr>
              <w:t xml:space="preserve">13,2</w:t>
            </w:r>
          </w:p>
        </w:tc>
        <w:tc>
          <w:tcPr>
            <w:tcW w:w="992" w:type="dxa"/>
            <w:shd w:val="clear" w:color="ffffff" w:fill="ffffff"/>
            <w:vAlign w:val="center"/>
          </w:tcPr>
          <w:p>
            <w:pPr>
              <w:jc w:val="center"/>
              <w:rPr>
                <w:sz w:val="28"/>
                <w:szCs w:val="28"/>
                <w:highlight w:val="white"/>
              </w:rPr>
            </w:pPr>
            <w:r>
              <w:rPr>
                <w:sz w:val="28"/>
                <w:szCs w:val="28"/>
                <w:highlight w:val="white"/>
              </w:rPr>
              <w:t xml:space="preserve">13,3</w:t>
            </w:r>
          </w:p>
        </w:tc>
        <w:tc>
          <w:tcPr>
            <w:tcW w:w="993" w:type="dxa"/>
            <w:shd w:val="clear" w:color="ffffff" w:fill="ffffff"/>
            <w:vAlign w:val="center"/>
          </w:tcPr>
          <w:p>
            <w:pPr>
              <w:jc w:val="center"/>
              <w:rPr>
                <w:sz w:val="28"/>
                <w:szCs w:val="28"/>
                <w:highlight w:val="white"/>
              </w:rPr>
            </w:pPr>
            <w:r>
              <w:rPr>
                <w:sz w:val="28"/>
                <w:szCs w:val="28"/>
                <w:highlight w:val="white"/>
              </w:rPr>
              <w:t xml:space="preserve">13,4</w:t>
            </w:r>
          </w:p>
        </w:tc>
        <w:tc>
          <w:tcPr>
            <w:tcW w:w="1004" w:type="dxa"/>
            <w:shd w:val="clear" w:color="ffffff" w:fill="ffffff"/>
            <w:vAlign w:val="center"/>
          </w:tcPr>
          <w:p>
            <w:pPr>
              <w:jc w:val="center"/>
              <w:rPr>
                <w:sz w:val="28"/>
                <w:szCs w:val="28"/>
                <w:highlight w:val="white"/>
              </w:rPr>
            </w:pPr>
            <w:r>
              <w:rPr>
                <w:sz w:val="28"/>
                <w:szCs w:val="28"/>
                <w:highlight w:val="white"/>
              </w:rPr>
              <w:t xml:space="preserve">13,0</w:t>
            </w:r>
          </w:p>
        </w:tc>
        <w:tc>
          <w:tcPr>
            <w:tcW w:w="1192" w:type="dxa"/>
            <w:shd w:val="clear" w:color="ffffff" w:fill="ffffff"/>
            <w:vAlign w:val="center"/>
          </w:tcPr>
          <w:p>
            <w:pPr>
              <w:jc w:val="center"/>
              <w:rPr>
                <w:sz w:val="28"/>
                <w:szCs w:val="28"/>
                <w:highlight w:val="white"/>
              </w:rPr>
            </w:pPr>
            <w:r>
              <w:rPr>
                <w:sz w:val="28"/>
                <w:szCs w:val="28"/>
                <w:highlight w:val="white"/>
              </w:rPr>
              <w:t xml:space="preserve">13,1</w:t>
            </w:r>
          </w:p>
        </w:tc>
      </w:tr>
      <w:tr>
        <w:tc>
          <w:tcPr>
            <w:tcW w:w="728" w:type="dxa"/>
            <w:vMerge w:val="continue"/>
            <w:shd w:val="clear" w:color="ffffff" w:fill="ffffff"/>
          </w:tcPr>
          <w:p>
            <w:pPr>
              <w:pStyle w:val="ConsPlusNormal"/>
              <w:ind w:firstLine="0"/>
              <w:rPr>
                <w:rFonts w:ascii="Times New Roman" w:hAnsi="Times New Roman" w:cs="Times New Roman"/>
                <w:sz w:val="28"/>
                <w:szCs w:val="28"/>
              </w:rPr>
            </w:pPr>
          </w:p>
        </w:tc>
        <w:tc>
          <w:tcPr>
            <w:tcW w:w="3667" w:type="dxa"/>
            <w:shd w:val="clear" w:color="ffffff" w:fill="ffffff"/>
            <w:vAlign w:val="center"/>
          </w:tcPr>
          <w:p>
            <w:pPr>
              <w:jc w:val="both"/>
              <w:rPr>
                <w:sz w:val="28"/>
                <w:szCs w:val="28"/>
                <w:highlight w:val="white"/>
              </w:rPr>
            </w:pPr>
            <w:r>
              <w:rPr>
                <w:sz w:val="28"/>
                <w:szCs w:val="28"/>
                <w:highlight w:val="white"/>
              </w:rPr>
              <w:t xml:space="preserve">деятельность финансовая и страховая</w:t>
            </w:r>
          </w:p>
        </w:tc>
        <w:tc>
          <w:tcPr>
            <w:tcW w:w="992" w:type="dxa"/>
            <w:shd w:val="clear" w:color="ffffff" w:fill="ffffff"/>
            <w:vAlign w:val="center"/>
          </w:tcPr>
          <w:p>
            <w:pPr>
              <w:jc w:val="center"/>
              <w:rPr>
                <w:sz w:val="28"/>
                <w:szCs w:val="28"/>
                <w:highlight w:val="white"/>
              </w:rPr>
            </w:pPr>
            <w:r>
              <w:rPr>
                <w:sz w:val="28"/>
                <w:szCs w:val="28"/>
                <w:highlight w:val="white"/>
              </w:rPr>
              <w:t xml:space="preserve">10,3</w:t>
            </w:r>
          </w:p>
        </w:tc>
        <w:tc>
          <w:tcPr>
            <w:tcW w:w="992" w:type="dxa"/>
            <w:shd w:val="clear" w:color="ffffff" w:fill="ffffff"/>
            <w:vAlign w:val="center"/>
          </w:tcPr>
          <w:p>
            <w:pPr>
              <w:jc w:val="center"/>
              <w:rPr>
                <w:sz w:val="28"/>
                <w:szCs w:val="28"/>
                <w:highlight w:val="white"/>
              </w:rPr>
            </w:pPr>
            <w:r>
              <w:rPr>
                <w:sz w:val="28"/>
                <w:szCs w:val="28"/>
                <w:highlight w:val="white"/>
              </w:rPr>
              <w:t xml:space="preserve">10,4</w:t>
            </w:r>
          </w:p>
        </w:tc>
        <w:tc>
          <w:tcPr>
            <w:tcW w:w="993" w:type="dxa"/>
            <w:shd w:val="clear" w:color="ffffff" w:fill="ffffff"/>
            <w:vAlign w:val="center"/>
          </w:tcPr>
          <w:p>
            <w:pPr>
              <w:jc w:val="center"/>
              <w:rPr>
                <w:sz w:val="28"/>
                <w:szCs w:val="28"/>
                <w:highlight w:val="white"/>
              </w:rPr>
            </w:pPr>
            <w:r>
              <w:rPr>
                <w:sz w:val="28"/>
                <w:szCs w:val="28"/>
                <w:highlight w:val="white"/>
              </w:rPr>
              <w:t xml:space="preserve">10,5</w:t>
            </w:r>
          </w:p>
        </w:tc>
        <w:tc>
          <w:tcPr>
            <w:tcW w:w="1004" w:type="dxa"/>
            <w:shd w:val="clear" w:color="ffffff" w:fill="ffffff"/>
            <w:vAlign w:val="center"/>
          </w:tcPr>
          <w:p>
            <w:pPr>
              <w:jc w:val="center"/>
              <w:rPr>
                <w:sz w:val="28"/>
                <w:szCs w:val="28"/>
                <w:highlight w:val="white"/>
              </w:rPr>
            </w:pPr>
            <w:r>
              <w:rPr>
                <w:sz w:val="28"/>
                <w:szCs w:val="28"/>
                <w:highlight w:val="white"/>
              </w:rPr>
              <w:t xml:space="preserve">10,1</w:t>
            </w:r>
          </w:p>
        </w:tc>
        <w:tc>
          <w:tcPr>
            <w:tcW w:w="1192" w:type="dxa"/>
            <w:shd w:val="clear" w:color="ffffff" w:fill="ffffff"/>
            <w:vAlign w:val="center"/>
          </w:tcPr>
          <w:p>
            <w:pPr>
              <w:jc w:val="center"/>
              <w:rPr>
                <w:sz w:val="28"/>
                <w:szCs w:val="28"/>
                <w:highlight w:val="white"/>
              </w:rPr>
            </w:pPr>
            <w:r>
              <w:rPr>
                <w:sz w:val="28"/>
                <w:szCs w:val="28"/>
                <w:highlight w:val="white"/>
              </w:rPr>
              <w:t xml:space="preserve">10,2</w:t>
            </w:r>
          </w:p>
        </w:tc>
      </w:tr>
      <w:tr>
        <w:tc>
          <w:tcPr>
            <w:tcW w:w="728" w:type="dxa"/>
            <w:vMerge w:val="continue"/>
            <w:shd w:val="clear" w:color="ffffff" w:fill="ffffff"/>
          </w:tcPr>
          <w:p>
            <w:pPr>
              <w:pStyle w:val="ConsPlusNormal"/>
              <w:ind w:firstLine="0"/>
              <w:rPr>
                <w:rFonts w:ascii="Times New Roman" w:hAnsi="Times New Roman" w:cs="Times New Roman"/>
                <w:sz w:val="28"/>
                <w:szCs w:val="28"/>
              </w:rPr>
            </w:pPr>
          </w:p>
        </w:tc>
        <w:tc>
          <w:tcPr>
            <w:tcW w:w="3667" w:type="dxa"/>
            <w:shd w:val="clear" w:color="ffffff" w:fill="ffffff"/>
            <w:vAlign w:val="center"/>
          </w:tcPr>
          <w:p>
            <w:pPr>
              <w:jc w:val="both"/>
              <w:rPr>
                <w:sz w:val="28"/>
                <w:szCs w:val="28"/>
                <w:highlight w:val="white"/>
              </w:rPr>
            </w:pPr>
            <w:r>
              <w:rPr>
                <w:sz w:val="28"/>
                <w:szCs w:val="28"/>
                <w:highlight w:val="white"/>
              </w:rPr>
              <w:t xml:space="preserve">деятельность по операциям с недвижимым имуществом</w:t>
            </w:r>
          </w:p>
        </w:tc>
        <w:tc>
          <w:tcPr>
            <w:tcW w:w="992" w:type="dxa"/>
            <w:shd w:val="clear" w:color="ffffff" w:fill="ffffff"/>
            <w:vAlign w:val="center"/>
          </w:tcPr>
          <w:p>
            <w:pPr>
              <w:jc w:val="center"/>
              <w:rPr>
                <w:sz w:val="28"/>
                <w:szCs w:val="28"/>
                <w:highlight w:val="white"/>
              </w:rPr>
            </w:pPr>
            <w:r>
              <w:rPr>
                <w:sz w:val="28"/>
                <w:szCs w:val="28"/>
                <w:highlight w:val="white"/>
              </w:rPr>
              <w:t xml:space="preserve">18,2</w:t>
            </w:r>
          </w:p>
        </w:tc>
        <w:tc>
          <w:tcPr>
            <w:tcW w:w="992" w:type="dxa"/>
            <w:shd w:val="clear" w:color="ffffff" w:fill="ffffff"/>
            <w:vAlign w:val="center"/>
          </w:tcPr>
          <w:p>
            <w:pPr>
              <w:jc w:val="center"/>
              <w:rPr>
                <w:sz w:val="28"/>
                <w:szCs w:val="28"/>
                <w:highlight w:val="white"/>
              </w:rPr>
            </w:pPr>
            <w:r>
              <w:rPr>
                <w:sz w:val="28"/>
                <w:szCs w:val="28"/>
                <w:highlight w:val="white"/>
              </w:rPr>
              <w:t xml:space="preserve">18,3</w:t>
            </w:r>
          </w:p>
        </w:tc>
        <w:tc>
          <w:tcPr>
            <w:tcW w:w="993" w:type="dxa"/>
            <w:shd w:val="clear" w:color="ffffff" w:fill="ffffff"/>
            <w:vAlign w:val="center"/>
          </w:tcPr>
          <w:p>
            <w:pPr>
              <w:jc w:val="center"/>
              <w:rPr>
                <w:sz w:val="28"/>
                <w:szCs w:val="28"/>
                <w:highlight w:val="white"/>
              </w:rPr>
            </w:pPr>
            <w:r>
              <w:rPr>
                <w:sz w:val="28"/>
                <w:szCs w:val="28"/>
                <w:highlight w:val="white"/>
              </w:rPr>
              <w:t xml:space="preserve">18,3</w:t>
            </w:r>
          </w:p>
        </w:tc>
        <w:tc>
          <w:tcPr>
            <w:tcW w:w="1004" w:type="dxa"/>
            <w:shd w:val="clear" w:color="ffffff" w:fill="ffffff"/>
            <w:vAlign w:val="center"/>
          </w:tcPr>
          <w:p>
            <w:pPr>
              <w:jc w:val="center"/>
              <w:rPr>
                <w:sz w:val="28"/>
                <w:szCs w:val="28"/>
                <w:highlight w:val="white"/>
              </w:rPr>
            </w:pPr>
            <w:r>
              <w:rPr>
                <w:sz w:val="28"/>
                <w:szCs w:val="28"/>
                <w:highlight w:val="white"/>
              </w:rPr>
              <w:t xml:space="preserve">18,1</w:t>
            </w:r>
          </w:p>
        </w:tc>
        <w:tc>
          <w:tcPr>
            <w:tcW w:w="1192" w:type="dxa"/>
            <w:shd w:val="clear" w:color="ffffff" w:fill="ffffff"/>
            <w:vAlign w:val="center"/>
          </w:tcPr>
          <w:p>
            <w:pPr>
              <w:jc w:val="center"/>
              <w:rPr>
                <w:sz w:val="28"/>
                <w:szCs w:val="28"/>
                <w:highlight w:val="white"/>
              </w:rPr>
            </w:pPr>
            <w:r>
              <w:rPr>
                <w:sz w:val="28"/>
                <w:szCs w:val="28"/>
                <w:highlight w:val="white"/>
              </w:rPr>
              <w:t xml:space="preserve">18,2</w:t>
            </w:r>
          </w:p>
        </w:tc>
      </w:tr>
      <w:tr>
        <w:tc>
          <w:tcPr>
            <w:tcW w:w="728" w:type="dxa"/>
            <w:vMerge w:val="continue"/>
            <w:shd w:val="clear" w:color="ffffff" w:fill="ffffff"/>
          </w:tcPr>
          <w:p>
            <w:pPr>
              <w:pStyle w:val="ConsPlusNormal"/>
              <w:ind w:firstLine="0"/>
              <w:rPr>
                <w:rFonts w:ascii="Times New Roman" w:hAnsi="Times New Roman" w:cs="Times New Roman"/>
                <w:sz w:val="28"/>
                <w:szCs w:val="28"/>
              </w:rPr>
            </w:pPr>
          </w:p>
        </w:tc>
        <w:tc>
          <w:tcPr>
            <w:tcW w:w="3667" w:type="dxa"/>
            <w:shd w:val="clear" w:color="ffffff" w:fill="ffffff"/>
            <w:vAlign w:val="center"/>
          </w:tcPr>
          <w:p>
            <w:pPr>
              <w:jc w:val="both"/>
              <w:rPr>
                <w:sz w:val="28"/>
                <w:szCs w:val="28"/>
                <w:highlight w:val="white"/>
              </w:rPr>
            </w:pPr>
            <w:r>
              <w:rPr>
                <w:sz w:val="28"/>
                <w:szCs w:val="28"/>
                <w:highlight w:val="white"/>
              </w:rPr>
              <w:t xml:space="preserve">деятельность профессиональная, научная и техническая</w:t>
            </w:r>
          </w:p>
        </w:tc>
        <w:tc>
          <w:tcPr>
            <w:tcW w:w="992" w:type="dxa"/>
            <w:shd w:val="clear" w:color="ffffff" w:fill="ffffff"/>
            <w:vAlign w:val="center"/>
          </w:tcPr>
          <w:p>
            <w:pPr>
              <w:jc w:val="center"/>
              <w:rPr>
                <w:sz w:val="28"/>
                <w:szCs w:val="28"/>
                <w:highlight w:val="white"/>
              </w:rPr>
            </w:pPr>
            <w:r>
              <w:rPr>
                <w:sz w:val="28"/>
                <w:szCs w:val="28"/>
                <w:highlight w:val="white"/>
              </w:rPr>
              <w:t xml:space="preserve">23,9</w:t>
            </w:r>
          </w:p>
        </w:tc>
        <w:tc>
          <w:tcPr>
            <w:tcW w:w="992" w:type="dxa"/>
            <w:shd w:val="clear" w:color="ffffff" w:fill="ffffff"/>
            <w:vAlign w:val="center"/>
          </w:tcPr>
          <w:p>
            <w:pPr>
              <w:jc w:val="center"/>
              <w:rPr>
                <w:sz w:val="28"/>
                <w:szCs w:val="28"/>
                <w:highlight w:val="white"/>
              </w:rPr>
            </w:pPr>
            <w:r>
              <w:rPr>
                <w:sz w:val="28"/>
                <w:szCs w:val="28"/>
                <w:highlight w:val="white"/>
              </w:rPr>
              <w:t xml:space="preserve">24,0</w:t>
            </w:r>
          </w:p>
        </w:tc>
        <w:tc>
          <w:tcPr>
            <w:tcW w:w="993" w:type="dxa"/>
            <w:shd w:val="clear" w:color="ffffff" w:fill="ffffff"/>
            <w:vAlign w:val="center"/>
          </w:tcPr>
          <w:p>
            <w:pPr>
              <w:jc w:val="center"/>
              <w:rPr>
                <w:sz w:val="28"/>
                <w:szCs w:val="28"/>
                <w:highlight w:val="white"/>
              </w:rPr>
            </w:pPr>
            <w:r>
              <w:rPr>
                <w:sz w:val="28"/>
                <w:szCs w:val="28"/>
                <w:highlight w:val="white"/>
              </w:rPr>
              <w:t xml:space="preserve">24,1</w:t>
            </w:r>
          </w:p>
        </w:tc>
        <w:tc>
          <w:tcPr>
            <w:tcW w:w="1004" w:type="dxa"/>
            <w:shd w:val="clear" w:color="ffffff" w:fill="ffffff"/>
            <w:vAlign w:val="center"/>
          </w:tcPr>
          <w:p>
            <w:pPr>
              <w:jc w:val="center"/>
              <w:rPr>
                <w:sz w:val="28"/>
                <w:szCs w:val="28"/>
                <w:highlight w:val="white"/>
              </w:rPr>
            </w:pPr>
            <w:r>
              <w:rPr>
                <w:sz w:val="28"/>
                <w:szCs w:val="28"/>
                <w:highlight w:val="white"/>
              </w:rPr>
              <w:t xml:space="preserve">23,6</w:t>
            </w:r>
          </w:p>
        </w:tc>
        <w:tc>
          <w:tcPr>
            <w:tcW w:w="1192" w:type="dxa"/>
            <w:shd w:val="clear" w:color="ffffff" w:fill="ffffff"/>
            <w:vAlign w:val="center"/>
          </w:tcPr>
          <w:p>
            <w:pPr>
              <w:jc w:val="center"/>
              <w:rPr>
                <w:sz w:val="28"/>
                <w:szCs w:val="28"/>
                <w:highlight w:val="white"/>
              </w:rPr>
            </w:pPr>
            <w:r>
              <w:rPr>
                <w:sz w:val="28"/>
                <w:szCs w:val="28"/>
                <w:highlight w:val="white"/>
              </w:rPr>
              <w:t xml:space="preserve">23,8</w:t>
            </w:r>
          </w:p>
        </w:tc>
      </w:tr>
      <w:tr>
        <w:tc>
          <w:tcPr>
            <w:tcW w:w="728" w:type="dxa"/>
            <w:vMerge w:val="continue"/>
            <w:shd w:val="clear" w:color="ffffff" w:fill="ffffff"/>
          </w:tcPr>
          <w:p>
            <w:pPr>
              <w:pStyle w:val="ConsPlusNormal"/>
              <w:ind w:firstLine="0"/>
              <w:rPr>
                <w:rFonts w:ascii="Times New Roman" w:hAnsi="Times New Roman" w:cs="Times New Roman"/>
                <w:sz w:val="28"/>
                <w:szCs w:val="28"/>
              </w:rPr>
            </w:pPr>
          </w:p>
        </w:tc>
        <w:tc>
          <w:tcPr>
            <w:tcW w:w="3667" w:type="dxa"/>
            <w:shd w:val="clear" w:color="ffffff" w:fill="ffffff"/>
            <w:vAlign w:val="center"/>
          </w:tcPr>
          <w:p>
            <w:pPr>
              <w:jc w:val="both"/>
              <w:rPr>
                <w:sz w:val="28"/>
                <w:szCs w:val="28"/>
                <w:highlight w:val="white"/>
              </w:rPr>
            </w:pPr>
            <w:r>
              <w:rPr>
                <w:sz w:val="28"/>
                <w:szCs w:val="28"/>
                <w:highlight w:val="white"/>
              </w:rPr>
              <w:t xml:space="preserve">деятельность административная и сопутствующие дополнительные услуги</w:t>
            </w:r>
          </w:p>
        </w:tc>
        <w:tc>
          <w:tcPr>
            <w:tcW w:w="992" w:type="dxa"/>
            <w:shd w:val="clear" w:color="ffffff" w:fill="ffffff"/>
            <w:vAlign w:val="center"/>
          </w:tcPr>
          <w:p>
            <w:pPr>
              <w:jc w:val="center"/>
              <w:rPr>
                <w:sz w:val="28"/>
                <w:szCs w:val="28"/>
                <w:highlight w:val="white"/>
              </w:rPr>
            </w:pPr>
            <w:r>
              <w:rPr>
                <w:sz w:val="28"/>
                <w:szCs w:val="28"/>
                <w:highlight w:val="white"/>
              </w:rPr>
              <w:t xml:space="preserve">27,2</w:t>
            </w:r>
          </w:p>
        </w:tc>
        <w:tc>
          <w:tcPr>
            <w:tcW w:w="992" w:type="dxa"/>
            <w:shd w:val="clear" w:color="ffffff" w:fill="ffffff"/>
            <w:vAlign w:val="center"/>
          </w:tcPr>
          <w:p>
            <w:pPr>
              <w:jc w:val="center"/>
              <w:rPr>
                <w:sz w:val="28"/>
                <w:szCs w:val="28"/>
                <w:highlight w:val="white"/>
              </w:rPr>
            </w:pPr>
            <w:r>
              <w:rPr>
                <w:sz w:val="28"/>
                <w:szCs w:val="28"/>
                <w:highlight w:val="white"/>
              </w:rPr>
              <w:t xml:space="preserve">27,3</w:t>
            </w:r>
          </w:p>
        </w:tc>
        <w:tc>
          <w:tcPr>
            <w:tcW w:w="993" w:type="dxa"/>
            <w:shd w:val="clear" w:color="ffffff" w:fill="ffffff"/>
            <w:vAlign w:val="center"/>
          </w:tcPr>
          <w:p>
            <w:pPr>
              <w:jc w:val="center"/>
              <w:rPr>
                <w:sz w:val="28"/>
                <w:szCs w:val="28"/>
                <w:highlight w:val="white"/>
              </w:rPr>
            </w:pPr>
            <w:r>
              <w:rPr>
                <w:sz w:val="28"/>
                <w:szCs w:val="28"/>
                <w:highlight w:val="white"/>
              </w:rPr>
              <w:t xml:space="preserve">27,4</w:t>
            </w:r>
          </w:p>
        </w:tc>
        <w:tc>
          <w:tcPr>
            <w:tcW w:w="1004" w:type="dxa"/>
            <w:shd w:val="clear" w:color="ffffff" w:fill="ffffff"/>
            <w:vAlign w:val="center"/>
          </w:tcPr>
          <w:p>
            <w:pPr>
              <w:jc w:val="center"/>
              <w:rPr>
                <w:sz w:val="28"/>
                <w:szCs w:val="28"/>
                <w:highlight w:val="white"/>
              </w:rPr>
            </w:pPr>
            <w:r>
              <w:rPr>
                <w:sz w:val="28"/>
                <w:szCs w:val="28"/>
                <w:highlight w:val="white"/>
              </w:rPr>
              <w:t xml:space="preserve">26,5</w:t>
            </w:r>
          </w:p>
        </w:tc>
        <w:tc>
          <w:tcPr>
            <w:tcW w:w="1192" w:type="dxa"/>
            <w:shd w:val="clear" w:color="ffffff" w:fill="ffffff"/>
            <w:vAlign w:val="center"/>
          </w:tcPr>
          <w:p>
            <w:pPr>
              <w:jc w:val="center"/>
              <w:rPr>
                <w:sz w:val="28"/>
                <w:szCs w:val="28"/>
                <w:highlight w:val="white"/>
              </w:rPr>
            </w:pPr>
            <w:r>
              <w:rPr>
                <w:sz w:val="28"/>
                <w:szCs w:val="28"/>
                <w:highlight w:val="white"/>
              </w:rPr>
              <w:t xml:space="preserve">27,0</w:t>
            </w:r>
          </w:p>
        </w:tc>
      </w:tr>
      <w:tr>
        <w:tc>
          <w:tcPr>
            <w:tcW w:w="728" w:type="dxa"/>
            <w:vMerge w:val="continue"/>
            <w:shd w:val="clear" w:color="ffffff" w:fill="ffffff"/>
          </w:tcPr>
          <w:p>
            <w:pPr>
              <w:pStyle w:val="ConsPlusNormal"/>
              <w:ind w:firstLine="0"/>
              <w:rPr>
                <w:rFonts w:ascii="Times New Roman" w:hAnsi="Times New Roman" w:cs="Times New Roman"/>
                <w:sz w:val="28"/>
                <w:szCs w:val="28"/>
              </w:rPr>
            </w:pPr>
          </w:p>
        </w:tc>
        <w:tc>
          <w:tcPr>
            <w:tcW w:w="3667" w:type="dxa"/>
            <w:shd w:val="clear" w:color="ffffff" w:fill="ffffff"/>
            <w:vAlign w:val="center"/>
          </w:tcPr>
          <w:p>
            <w:pPr>
              <w:jc w:val="both"/>
              <w:rPr>
                <w:sz w:val="28"/>
                <w:szCs w:val="28"/>
                <w:highlight w:val="white"/>
              </w:rPr>
            </w:pPr>
            <w:r>
              <w:rPr>
                <w:sz w:val="28"/>
                <w:szCs w:val="28"/>
                <w:highlight w:val="white"/>
              </w:rPr>
              <w:t xml:space="preserve">государственное управление и обеспечение военной безопасности, социальное обеспечение</w:t>
            </w:r>
          </w:p>
        </w:tc>
        <w:tc>
          <w:tcPr>
            <w:tcW w:w="992" w:type="dxa"/>
            <w:shd w:val="clear" w:color="ffffff" w:fill="ffffff"/>
            <w:vAlign w:val="center"/>
          </w:tcPr>
          <w:p>
            <w:pPr>
              <w:jc w:val="center"/>
              <w:rPr>
                <w:sz w:val="28"/>
                <w:szCs w:val="28"/>
                <w:highlight w:val="white"/>
              </w:rPr>
            </w:pPr>
            <w:r>
              <w:rPr>
                <w:sz w:val="28"/>
                <w:szCs w:val="28"/>
                <w:highlight w:val="white"/>
              </w:rPr>
              <w:t xml:space="preserve">43,8</w:t>
            </w:r>
          </w:p>
        </w:tc>
        <w:tc>
          <w:tcPr>
            <w:tcW w:w="992" w:type="dxa"/>
            <w:shd w:val="clear" w:color="ffffff" w:fill="ffffff"/>
            <w:vAlign w:val="center"/>
          </w:tcPr>
          <w:p>
            <w:pPr>
              <w:jc w:val="center"/>
              <w:rPr>
                <w:sz w:val="28"/>
                <w:szCs w:val="28"/>
                <w:highlight w:val="white"/>
              </w:rPr>
            </w:pPr>
            <w:r>
              <w:rPr>
                <w:sz w:val="28"/>
                <w:szCs w:val="28"/>
                <w:highlight w:val="white"/>
              </w:rPr>
              <w:t xml:space="preserve">43,5</w:t>
            </w:r>
          </w:p>
        </w:tc>
        <w:tc>
          <w:tcPr>
            <w:tcW w:w="993" w:type="dxa"/>
            <w:shd w:val="clear" w:color="ffffff" w:fill="ffffff"/>
            <w:vAlign w:val="center"/>
          </w:tcPr>
          <w:p>
            <w:pPr>
              <w:jc w:val="center"/>
              <w:rPr>
                <w:sz w:val="28"/>
                <w:szCs w:val="28"/>
                <w:highlight w:val="white"/>
              </w:rPr>
            </w:pPr>
            <w:r>
              <w:rPr>
                <w:sz w:val="28"/>
                <w:szCs w:val="28"/>
                <w:highlight w:val="white"/>
              </w:rPr>
              <w:t xml:space="preserve">43,2</w:t>
            </w:r>
          </w:p>
        </w:tc>
        <w:tc>
          <w:tcPr>
            <w:tcW w:w="1004" w:type="dxa"/>
            <w:shd w:val="clear" w:color="ffffff" w:fill="ffffff"/>
            <w:vAlign w:val="center"/>
          </w:tcPr>
          <w:p>
            <w:pPr>
              <w:jc w:val="center"/>
              <w:rPr>
                <w:sz w:val="28"/>
                <w:szCs w:val="28"/>
                <w:highlight w:val="white"/>
              </w:rPr>
            </w:pPr>
            <w:r>
              <w:rPr>
                <w:sz w:val="28"/>
                <w:szCs w:val="28"/>
                <w:highlight w:val="white"/>
              </w:rPr>
              <w:t xml:space="preserve">44,8</w:t>
            </w:r>
          </w:p>
        </w:tc>
        <w:tc>
          <w:tcPr>
            <w:tcW w:w="1192" w:type="dxa"/>
            <w:shd w:val="clear" w:color="ffffff" w:fill="ffffff"/>
            <w:vAlign w:val="center"/>
          </w:tcPr>
          <w:p>
            <w:pPr>
              <w:jc w:val="center"/>
              <w:rPr>
                <w:sz w:val="28"/>
                <w:szCs w:val="28"/>
                <w:highlight w:val="white"/>
              </w:rPr>
            </w:pPr>
            <w:r>
              <w:rPr>
                <w:sz w:val="28"/>
                <w:szCs w:val="28"/>
                <w:highlight w:val="white"/>
              </w:rPr>
              <w:t xml:space="preserve">44,1</w:t>
            </w:r>
          </w:p>
        </w:tc>
      </w:tr>
      <w:tr>
        <w:tc>
          <w:tcPr>
            <w:tcW w:w="728" w:type="dxa"/>
            <w:vMerge w:val="continue"/>
            <w:shd w:val="clear" w:color="ffffff" w:fill="ffffff"/>
          </w:tcPr>
          <w:p>
            <w:pPr>
              <w:pStyle w:val="ConsPlusNormal"/>
              <w:ind w:firstLine="0"/>
              <w:rPr>
                <w:rFonts w:ascii="Times New Roman" w:hAnsi="Times New Roman" w:cs="Times New Roman"/>
                <w:sz w:val="28"/>
                <w:szCs w:val="28"/>
              </w:rPr>
            </w:pPr>
          </w:p>
        </w:tc>
        <w:tc>
          <w:tcPr>
            <w:tcW w:w="3667" w:type="dxa"/>
            <w:shd w:val="clear" w:color="ffffff" w:fill="ffffff"/>
            <w:vAlign w:val="center"/>
          </w:tcPr>
          <w:p>
            <w:pPr>
              <w:jc w:val="both"/>
              <w:rPr>
                <w:sz w:val="28"/>
                <w:szCs w:val="28"/>
                <w:highlight w:val="white"/>
              </w:rPr>
            </w:pPr>
            <w:r>
              <w:rPr>
                <w:sz w:val="28"/>
                <w:szCs w:val="28"/>
                <w:highlight w:val="white"/>
              </w:rPr>
              <w:t xml:space="preserve">образование</w:t>
            </w:r>
          </w:p>
        </w:tc>
        <w:tc>
          <w:tcPr>
            <w:tcW w:w="992" w:type="dxa"/>
            <w:shd w:val="clear" w:color="ffffff" w:fill="ffffff"/>
            <w:vAlign w:val="center"/>
          </w:tcPr>
          <w:p>
            <w:pPr>
              <w:jc w:val="center"/>
              <w:rPr>
                <w:sz w:val="28"/>
                <w:szCs w:val="28"/>
                <w:highlight w:val="white"/>
              </w:rPr>
            </w:pPr>
            <w:r>
              <w:rPr>
                <w:sz w:val="28"/>
                <w:szCs w:val="28"/>
                <w:highlight w:val="white"/>
              </w:rPr>
              <w:t xml:space="preserve">68,4</w:t>
            </w:r>
          </w:p>
        </w:tc>
        <w:tc>
          <w:tcPr>
            <w:tcW w:w="992" w:type="dxa"/>
            <w:shd w:val="clear" w:color="ffffff" w:fill="ffffff"/>
            <w:vAlign w:val="center"/>
          </w:tcPr>
          <w:p>
            <w:pPr>
              <w:jc w:val="center"/>
              <w:rPr>
                <w:sz w:val="28"/>
                <w:szCs w:val="28"/>
                <w:highlight w:val="white"/>
              </w:rPr>
            </w:pPr>
            <w:r>
              <w:rPr>
                <w:sz w:val="28"/>
                <w:szCs w:val="28"/>
                <w:highlight w:val="white"/>
              </w:rPr>
              <w:t xml:space="preserve">68,3</w:t>
            </w:r>
          </w:p>
        </w:tc>
        <w:tc>
          <w:tcPr>
            <w:tcW w:w="993" w:type="dxa"/>
            <w:shd w:val="clear" w:color="ffffff" w:fill="ffffff"/>
            <w:vAlign w:val="center"/>
          </w:tcPr>
          <w:p>
            <w:pPr>
              <w:jc w:val="center"/>
              <w:rPr>
                <w:sz w:val="28"/>
                <w:szCs w:val="28"/>
                <w:highlight w:val="white"/>
              </w:rPr>
            </w:pPr>
            <w:r>
              <w:rPr>
                <w:sz w:val="28"/>
                <w:szCs w:val="28"/>
                <w:highlight w:val="white"/>
              </w:rPr>
              <w:t xml:space="preserve">68,2</w:t>
            </w:r>
          </w:p>
        </w:tc>
        <w:tc>
          <w:tcPr>
            <w:tcW w:w="1004" w:type="dxa"/>
            <w:shd w:val="clear" w:color="ffffff" w:fill="ffffff"/>
            <w:vAlign w:val="center"/>
          </w:tcPr>
          <w:p>
            <w:pPr>
              <w:jc w:val="center"/>
              <w:rPr>
                <w:sz w:val="28"/>
                <w:szCs w:val="28"/>
                <w:highlight w:val="white"/>
              </w:rPr>
            </w:pPr>
            <w:r>
              <w:rPr>
                <w:sz w:val="28"/>
                <w:szCs w:val="28"/>
                <w:highlight w:val="white"/>
              </w:rPr>
              <w:t xml:space="preserve">68,6</w:t>
            </w:r>
          </w:p>
        </w:tc>
        <w:tc>
          <w:tcPr>
            <w:tcW w:w="1192" w:type="dxa"/>
            <w:shd w:val="clear" w:color="ffffff" w:fill="ffffff"/>
            <w:vAlign w:val="center"/>
          </w:tcPr>
          <w:p>
            <w:pPr>
              <w:jc w:val="center"/>
              <w:rPr>
                <w:sz w:val="28"/>
                <w:szCs w:val="28"/>
                <w:highlight w:val="white"/>
              </w:rPr>
            </w:pPr>
            <w:r>
              <w:rPr>
                <w:sz w:val="28"/>
                <w:szCs w:val="28"/>
                <w:highlight w:val="white"/>
              </w:rPr>
              <w:t xml:space="preserve">68,5</w:t>
            </w:r>
          </w:p>
        </w:tc>
      </w:tr>
      <w:tr>
        <w:tc>
          <w:tcPr>
            <w:tcW w:w="728" w:type="dxa"/>
            <w:vMerge w:val="continue"/>
            <w:shd w:val="clear" w:color="ffffff" w:fill="ffffff"/>
          </w:tcPr>
          <w:p>
            <w:pPr>
              <w:pStyle w:val="ConsPlusNormal"/>
              <w:ind w:firstLine="0"/>
              <w:rPr>
                <w:rFonts w:ascii="Times New Roman" w:hAnsi="Times New Roman" w:cs="Times New Roman"/>
                <w:sz w:val="28"/>
                <w:szCs w:val="28"/>
              </w:rPr>
            </w:pPr>
          </w:p>
        </w:tc>
        <w:tc>
          <w:tcPr>
            <w:tcW w:w="3667" w:type="dxa"/>
            <w:shd w:val="clear" w:color="ffffff" w:fill="ffffff"/>
            <w:vAlign w:val="center"/>
          </w:tcPr>
          <w:p>
            <w:pPr>
              <w:rPr>
                <w:sz w:val="28"/>
                <w:szCs w:val="28"/>
                <w:highlight w:val="white"/>
              </w:rPr>
            </w:pPr>
            <w:r>
              <w:rPr>
                <w:sz w:val="28"/>
                <w:szCs w:val="28"/>
                <w:highlight w:val="white"/>
              </w:rPr>
              <w:t xml:space="preserve">деятельность в области здравоохранения и социальных услуг </w:t>
            </w:r>
          </w:p>
        </w:tc>
        <w:tc>
          <w:tcPr>
            <w:tcW w:w="992" w:type="dxa"/>
            <w:shd w:val="clear" w:color="ffffff" w:fill="ffffff"/>
            <w:vAlign w:val="center"/>
          </w:tcPr>
          <w:p>
            <w:pPr>
              <w:jc w:val="center"/>
              <w:rPr>
                <w:sz w:val="28"/>
                <w:szCs w:val="28"/>
                <w:highlight w:val="white"/>
              </w:rPr>
            </w:pPr>
            <w:r>
              <w:rPr>
                <w:sz w:val="28"/>
                <w:szCs w:val="28"/>
                <w:highlight w:val="white"/>
              </w:rPr>
              <w:t xml:space="preserve">59,5</w:t>
            </w:r>
          </w:p>
        </w:tc>
        <w:tc>
          <w:tcPr>
            <w:tcW w:w="992" w:type="dxa"/>
            <w:shd w:val="clear" w:color="ffffff" w:fill="ffffff"/>
            <w:vAlign w:val="center"/>
          </w:tcPr>
          <w:p>
            <w:pPr>
              <w:jc w:val="center"/>
              <w:rPr>
                <w:sz w:val="28"/>
                <w:szCs w:val="28"/>
                <w:highlight w:val="white"/>
              </w:rPr>
            </w:pPr>
            <w:r>
              <w:rPr>
                <w:sz w:val="28"/>
                <w:szCs w:val="28"/>
                <w:highlight w:val="white"/>
              </w:rPr>
              <w:t xml:space="preserve">59,7</w:t>
            </w:r>
          </w:p>
        </w:tc>
        <w:tc>
          <w:tcPr>
            <w:tcW w:w="993" w:type="dxa"/>
            <w:shd w:val="clear" w:color="ffffff" w:fill="ffffff"/>
            <w:vAlign w:val="center"/>
          </w:tcPr>
          <w:p>
            <w:pPr>
              <w:jc w:val="center"/>
              <w:rPr>
                <w:sz w:val="28"/>
                <w:szCs w:val="28"/>
                <w:highlight w:val="white"/>
              </w:rPr>
            </w:pPr>
            <w:r>
              <w:rPr>
                <w:sz w:val="28"/>
                <w:szCs w:val="28"/>
                <w:highlight w:val="white"/>
              </w:rPr>
              <w:t xml:space="preserve">59,9</w:t>
            </w:r>
          </w:p>
        </w:tc>
        <w:tc>
          <w:tcPr>
            <w:tcW w:w="1004" w:type="dxa"/>
            <w:shd w:val="clear" w:color="ffffff" w:fill="ffffff"/>
            <w:vAlign w:val="center"/>
          </w:tcPr>
          <w:p>
            <w:pPr>
              <w:jc w:val="center"/>
              <w:rPr>
                <w:sz w:val="28"/>
                <w:szCs w:val="28"/>
                <w:highlight w:val="white"/>
              </w:rPr>
            </w:pPr>
            <w:r>
              <w:rPr>
                <w:sz w:val="28"/>
                <w:szCs w:val="28"/>
                <w:highlight w:val="white"/>
              </w:rPr>
              <w:t xml:space="preserve">58,8</w:t>
            </w:r>
          </w:p>
        </w:tc>
        <w:tc>
          <w:tcPr>
            <w:tcW w:w="1192" w:type="dxa"/>
            <w:shd w:val="clear" w:color="ffffff" w:fill="ffffff"/>
            <w:vAlign w:val="center"/>
          </w:tcPr>
          <w:p>
            <w:pPr>
              <w:jc w:val="center"/>
              <w:rPr>
                <w:sz w:val="28"/>
                <w:szCs w:val="28"/>
                <w:highlight w:val="white"/>
              </w:rPr>
            </w:pPr>
            <w:r>
              <w:rPr>
                <w:sz w:val="28"/>
                <w:szCs w:val="28"/>
                <w:highlight w:val="white"/>
              </w:rPr>
              <w:t xml:space="preserve">59,3</w:t>
            </w:r>
          </w:p>
        </w:tc>
      </w:tr>
      <w:tr>
        <w:tc>
          <w:tcPr>
            <w:tcW w:w="728" w:type="dxa"/>
            <w:vMerge w:val="continue"/>
            <w:shd w:val="clear" w:color="ffffff" w:fill="ffffff"/>
          </w:tcPr>
          <w:p>
            <w:pPr>
              <w:pStyle w:val="ConsPlusNormal"/>
              <w:ind w:firstLine="0"/>
              <w:rPr>
                <w:rFonts w:ascii="Times New Roman" w:hAnsi="Times New Roman" w:cs="Times New Roman"/>
                <w:sz w:val="28"/>
                <w:szCs w:val="28"/>
              </w:rPr>
            </w:pPr>
          </w:p>
        </w:tc>
        <w:tc>
          <w:tcPr>
            <w:tcW w:w="3667" w:type="dxa"/>
            <w:shd w:val="clear" w:color="ffffff" w:fill="ffffff"/>
            <w:vAlign w:val="center"/>
          </w:tcPr>
          <w:p>
            <w:pPr>
              <w:rPr>
                <w:sz w:val="28"/>
                <w:szCs w:val="28"/>
                <w:highlight w:val="white"/>
              </w:rPr>
            </w:pPr>
            <w:r>
              <w:rPr>
                <w:sz w:val="28"/>
                <w:szCs w:val="28"/>
                <w:highlight w:val="white"/>
              </w:rPr>
              <w:t xml:space="preserve">деятельность в области культуры, спорта, организации досуга и развлечений</w:t>
            </w:r>
          </w:p>
        </w:tc>
        <w:tc>
          <w:tcPr>
            <w:tcW w:w="992" w:type="dxa"/>
            <w:shd w:val="clear" w:color="ffffff" w:fill="ffffff"/>
            <w:vAlign w:val="center"/>
          </w:tcPr>
          <w:p>
            <w:pPr>
              <w:jc w:val="center"/>
              <w:rPr>
                <w:sz w:val="28"/>
                <w:szCs w:val="28"/>
                <w:highlight w:val="white"/>
              </w:rPr>
            </w:pPr>
            <w:r>
              <w:rPr>
                <w:sz w:val="28"/>
                <w:szCs w:val="28"/>
                <w:highlight w:val="white"/>
              </w:rPr>
              <w:t xml:space="preserve">12,4</w:t>
            </w:r>
          </w:p>
        </w:tc>
        <w:tc>
          <w:tcPr>
            <w:tcW w:w="992" w:type="dxa"/>
            <w:shd w:val="clear" w:color="ffffff" w:fill="ffffff"/>
            <w:vAlign w:val="center"/>
          </w:tcPr>
          <w:p>
            <w:pPr>
              <w:jc w:val="center"/>
              <w:rPr>
                <w:sz w:val="28"/>
                <w:szCs w:val="28"/>
                <w:highlight w:val="white"/>
              </w:rPr>
            </w:pPr>
            <w:r>
              <w:rPr>
                <w:sz w:val="28"/>
                <w:szCs w:val="28"/>
                <w:highlight w:val="white"/>
              </w:rPr>
              <w:t xml:space="preserve">12,5</w:t>
            </w:r>
          </w:p>
        </w:tc>
        <w:tc>
          <w:tcPr>
            <w:tcW w:w="993" w:type="dxa"/>
            <w:shd w:val="clear" w:color="ffffff" w:fill="ffffff"/>
            <w:vAlign w:val="center"/>
          </w:tcPr>
          <w:p>
            <w:pPr>
              <w:jc w:val="center"/>
              <w:rPr>
                <w:sz w:val="28"/>
                <w:szCs w:val="28"/>
                <w:highlight w:val="white"/>
              </w:rPr>
            </w:pPr>
            <w:r>
              <w:rPr>
                <w:sz w:val="28"/>
                <w:szCs w:val="28"/>
                <w:highlight w:val="white"/>
              </w:rPr>
              <w:t xml:space="preserve">12,6</w:t>
            </w:r>
          </w:p>
        </w:tc>
        <w:tc>
          <w:tcPr>
            <w:tcW w:w="1004" w:type="dxa"/>
            <w:shd w:val="clear" w:color="ffffff" w:fill="ffffff"/>
            <w:vAlign w:val="center"/>
          </w:tcPr>
          <w:p>
            <w:pPr>
              <w:jc w:val="center"/>
              <w:rPr>
                <w:sz w:val="28"/>
                <w:szCs w:val="28"/>
                <w:highlight w:val="white"/>
              </w:rPr>
            </w:pPr>
            <w:r>
              <w:rPr>
                <w:sz w:val="28"/>
                <w:szCs w:val="28"/>
                <w:highlight w:val="white"/>
              </w:rPr>
              <w:t xml:space="preserve">12,2</w:t>
            </w:r>
          </w:p>
        </w:tc>
        <w:tc>
          <w:tcPr>
            <w:tcW w:w="1192" w:type="dxa"/>
            <w:shd w:val="clear" w:color="ffffff" w:fill="ffffff"/>
            <w:vAlign w:val="center"/>
          </w:tcPr>
          <w:p>
            <w:pPr>
              <w:jc w:val="center"/>
              <w:rPr>
                <w:sz w:val="28"/>
                <w:szCs w:val="28"/>
                <w:highlight w:val="white"/>
              </w:rPr>
            </w:pPr>
            <w:r>
              <w:rPr>
                <w:sz w:val="28"/>
                <w:szCs w:val="28"/>
                <w:highlight w:val="white"/>
              </w:rPr>
              <w:t xml:space="preserve">12,3</w:t>
            </w:r>
          </w:p>
        </w:tc>
      </w:tr>
      <w:tr>
        <w:tc>
          <w:tcPr>
            <w:tcW w:w="728" w:type="dxa"/>
            <w:vMerge w:val="continue"/>
            <w:shd w:val="clear" w:color="ffffff" w:fill="ffffff"/>
          </w:tcPr>
          <w:p>
            <w:pPr>
              <w:pStyle w:val="ConsPlusNormal"/>
              <w:ind w:firstLine="0"/>
              <w:rPr>
                <w:rFonts w:ascii="Times New Roman" w:hAnsi="Times New Roman" w:cs="Times New Roman"/>
                <w:sz w:val="28"/>
                <w:szCs w:val="28"/>
              </w:rPr>
            </w:pPr>
          </w:p>
        </w:tc>
        <w:tc>
          <w:tcPr>
            <w:tcW w:w="3667" w:type="dxa"/>
            <w:shd w:val="clear" w:color="ffffff" w:fill="ffffff"/>
            <w:vAlign w:val="center"/>
          </w:tcPr>
          <w:p>
            <w:pPr>
              <w:jc w:val="both"/>
              <w:rPr>
                <w:sz w:val="28"/>
                <w:szCs w:val="28"/>
                <w:highlight w:val="white"/>
              </w:rPr>
            </w:pPr>
            <w:r>
              <w:rPr>
                <w:sz w:val="28"/>
                <w:szCs w:val="28"/>
                <w:highlight w:val="white"/>
              </w:rPr>
              <w:t xml:space="preserve">предоставление прочих видов услуг</w:t>
            </w:r>
          </w:p>
        </w:tc>
        <w:tc>
          <w:tcPr>
            <w:tcW w:w="992" w:type="dxa"/>
            <w:shd w:val="clear" w:color="ffffff" w:fill="ffffff"/>
            <w:vAlign w:val="center"/>
          </w:tcPr>
          <w:p>
            <w:pPr>
              <w:jc w:val="center"/>
              <w:rPr>
                <w:sz w:val="28"/>
                <w:szCs w:val="28"/>
                <w:highlight w:val="white"/>
              </w:rPr>
            </w:pPr>
            <w:r>
              <w:rPr>
                <w:sz w:val="28"/>
                <w:szCs w:val="28"/>
                <w:highlight w:val="white"/>
              </w:rPr>
              <w:t xml:space="preserve">18,2</w:t>
            </w:r>
          </w:p>
        </w:tc>
        <w:tc>
          <w:tcPr>
            <w:tcW w:w="992" w:type="dxa"/>
            <w:shd w:val="clear" w:color="ffffff" w:fill="ffffff"/>
            <w:vAlign w:val="center"/>
          </w:tcPr>
          <w:p>
            <w:pPr>
              <w:jc w:val="center"/>
              <w:rPr>
                <w:sz w:val="28"/>
                <w:szCs w:val="28"/>
                <w:highlight w:val="white"/>
              </w:rPr>
            </w:pPr>
            <w:r>
              <w:rPr>
                <w:sz w:val="28"/>
                <w:szCs w:val="28"/>
                <w:highlight w:val="white"/>
              </w:rPr>
              <w:t xml:space="preserve">18,4</w:t>
            </w:r>
          </w:p>
        </w:tc>
        <w:tc>
          <w:tcPr>
            <w:tcW w:w="993" w:type="dxa"/>
            <w:shd w:val="clear" w:color="ffffff" w:fill="ffffff"/>
            <w:vAlign w:val="center"/>
          </w:tcPr>
          <w:p>
            <w:pPr>
              <w:jc w:val="center"/>
              <w:rPr>
                <w:sz w:val="28"/>
                <w:szCs w:val="28"/>
                <w:highlight w:val="white"/>
              </w:rPr>
            </w:pPr>
            <w:r>
              <w:rPr>
                <w:sz w:val="28"/>
                <w:szCs w:val="28"/>
                <w:highlight w:val="white"/>
              </w:rPr>
              <w:t xml:space="preserve">18,6</w:t>
            </w:r>
          </w:p>
        </w:tc>
        <w:tc>
          <w:tcPr>
            <w:tcW w:w="1004" w:type="dxa"/>
            <w:shd w:val="clear" w:color="ffffff" w:fill="ffffff"/>
            <w:vAlign w:val="center"/>
          </w:tcPr>
          <w:p>
            <w:pPr>
              <w:jc w:val="center"/>
              <w:rPr>
                <w:sz w:val="28"/>
                <w:szCs w:val="28"/>
                <w:highlight w:val="white"/>
              </w:rPr>
            </w:pPr>
            <w:r>
              <w:rPr>
                <w:sz w:val="28"/>
                <w:szCs w:val="28"/>
                <w:highlight w:val="white"/>
              </w:rPr>
              <w:t xml:space="preserve">17,6</w:t>
            </w:r>
          </w:p>
        </w:tc>
        <w:tc>
          <w:tcPr>
            <w:tcW w:w="1192" w:type="dxa"/>
            <w:shd w:val="clear" w:color="ffffff" w:fill="ffffff"/>
            <w:vAlign w:val="center"/>
          </w:tcPr>
          <w:p>
            <w:pPr>
              <w:jc w:val="center"/>
              <w:rPr>
                <w:sz w:val="28"/>
                <w:szCs w:val="28"/>
                <w:highlight w:val="white"/>
              </w:rPr>
            </w:pPr>
            <w:r>
              <w:rPr>
                <w:sz w:val="28"/>
                <w:szCs w:val="28"/>
                <w:highlight w:val="white"/>
              </w:rPr>
              <w:t xml:space="preserve">18,0</w:t>
            </w:r>
          </w:p>
        </w:tc>
      </w:tr>
      <w:tr>
        <w:tc>
          <w:tcPr>
            <w:tcW w:w="728" w:type="dxa"/>
            <w:vMerge w:val="continue"/>
            <w:shd w:val="clear" w:color="ffffff" w:fill="ffffff"/>
          </w:tcPr>
          <w:p>
            <w:pPr>
              <w:pStyle w:val="ConsPlusNormal"/>
              <w:ind w:firstLine="0"/>
              <w:rPr>
                <w:rFonts w:ascii="Times New Roman" w:hAnsi="Times New Roman" w:cs="Times New Roman"/>
                <w:sz w:val="28"/>
                <w:szCs w:val="28"/>
              </w:rPr>
            </w:pPr>
          </w:p>
        </w:tc>
        <w:tc>
          <w:tcPr>
            <w:tcW w:w="3667" w:type="dxa"/>
            <w:shd w:val="clear" w:color="ffffff" w:fill="ffffff"/>
            <w:vAlign w:val="center"/>
          </w:tcPr>
          <w:p>
            <w:pPr>
              <w:jc w:val="both"/>
              <w:rPr>
                <w:sz w:val="28"/>
                <w:szCs w:val="28"/>
                <w:highlight w:val="white"/>
              </w:rPr>
            </w:pPr>
            <w:r>
              <w:rPr>
                <w:sz w:val="28"/>
                <w:szCs w:val="28"/>
                <w:highlight w:val="white"/>
              </w:rPr>
              <w:t xml:space="preserve">деятельность домашних хозяйств как работодателей; недифференцированная деятельность частных домашних  хозяйств по производству товаров и оказанию услуг для собственного потребления</w:t>
            </w:r>
          </w:p>
        </w:tc>
        <w:tc>
          <w:tcPr>
            <w:tcW w:w="992" w:type="dxa"/>
            <w:shd w:val="clear" w:color="ffffff" w:fill="ffffff"/>
            <w:vAlign w:val="center"/>
          </w:tcPr>
          <w:p>
            <w:pPr>
              <w:jc w:val="center"/>
              <w:rPr>
                <w:sz w:val="28"/>
                <w:szCs w:val="28"/>
                <w:highlight w:val="white"/>
              </w:rPr>
            </w:pPr>
            <w:r>
              <w:rPr>
                <w:sz w:val="28"/>
                <w:szCs w:val="28"/>
                <w:highlight w:val="white"/>
              </w:rPr>
              <w:t xml:space="preserve">1,0</w:t>
            </w:r>
          </w:p>
        </w:tc>
        <w:tc>
          <w:tcPr>
            <w:tcW w:w="992" w:type="dxa"/>
            <w:shd w:val="clear" w:color="ffffff" w:fill="ffffff"/>
            <w:vAlign w:val="center"/>
          </w:tcPr>
          <w:p>
            <w:pPr>
              <w:jc w:val="center"/>
              <w:rPr>
                <w:sz w:val="28"/>
                <w:szCs w:val="28"/>
                <w:highlight w:val="white"/>
              </w:rPr>
            </w:pPr>
            <w:r>
              <w:rPr>
                <w:sz w:val="28"/>
                <w:szCs w:val="28"/>
                <w:highlight w:val="white"/>
              </w:rPr>
              <w:t xml:space="preserve">1,0</w:t>
            </w:r>
          </w:p>
        </w:tc>
        <w:tc>
          <w:tcPr>
            <w:tcW w:w="993" w:type="dxa"/>
            <w:shd w:val="clear" w:color="ffffff" w:fill="ffffff"/>
            <w:vAlign w:val="center"/>
          </w:tcPr>
          <w:p>
            <w:pPr>
              <w:jc w:val="center"/>
              <w:rPr>
                <w:sz w:val="28"/>
                <w:szCs w:val="28"/>
                <w:highlight w:val="white"/>
              </w:rPr>
            </w:pPr>
            <w:r>
              <w:rPr>
                <w:sz w:val="28"/>
                <w:szCs w:val="28"/>
                <w:highlight w:val="white"/>
              </w:rPr>
              <w:t xml:space="preserve">1,0</w:t>
            </w:r>
          </w:p>
        </w:tc>
        <w:tc>
          <w:tcPr>
            <w:tcW w:w="1004" w:type="dxa"/>
            <w:shd w:val="clear" w:color="ffffff" w:fill="ffffff"/>
            <w:vAlign w:val="center"/>
          </w:tcPr>
          <w:p>
            <w:pPr>
              <w:jc w:val="center"/>
              <w:rPr>
                <w:sz w:val="28"/>
                <w:szCs w:val="28"/>
                <w:highlight w:val="white"/>
              </w:rPr>
            </w:pPr>
            <w:r>
              <w:rPr>
                <w:sz w:val="28"/>
                <w:szCs w:val="28"/>
                <w:highlight w:val="white"/>
              </w:rPr>
              <w:t xml:space="preserve">1,0</w:t>
            </w:r>
          </w:p>
        </w:tc>
        <w:tc>
          <w:tcPr>
            <w:tcW w:w="1192" w:type="dxa"/>
            <w:shd w:val="clear" w:color="ffffff" w:fill="ffffff"/>
            <w:vAlign w:val="center"/>
          </w:tcPr>
          <w:p>
            <w:pPr>
              <w:jc w:val="center"/>
              <w:rPr>
                <w:sz w:val="28"/>
                <w:szCs w:val="28"/>
                <w:highlight w:val="white"/>
              </w:rPr>
            </w:pPr>
            <w:r>
              <w:rPr>
                <w:sz w:val="28"/>
                <w:szCs w:val="28"/>
                <w:highlight w:val="white"/>
              </w:rPr>
              <w:t xml:space="preserve">1,0</w:t>
            </w:r>
          </w:p>
        </w:tc>
      </w:tr>
    </w:tbl>
    <w:p>
      <w:pPr>
        <w:pStyle w:val="ConsPlusNormal"/>
        <w:jc w:val="right"/>
        <w:rPr>
          <w:rFonts w:ascii="Times New Roman" w:hAnsi="Times New Roman" w:cs="Times New Roman"/>
          <w:sz w:val="28"/>
          <w:szCs w:val="28"/>
          <w:highlight w:val="white"/>
        </w:rPr>
      </w:pPr>
    </w:p>
    <w:p>
      <w:pPr>
        <w:pStyle w:val="1"/>
        <w:ind w:left="-567"/>
        <w:jc w:val="center"/>
        <w:rPr>
          <w:rFonts w:ascii="Times New Roman" w:hAnsi="Times New Roman"/>
          <w:b w:val="0"/>
          <w:sz w:val="28"/>
          <w:szCs w:val="28"/>
        </w:rPr>
        <w:sectPr>
          <w:headerReference w:type="even" r:id="rId9"/>
          <w:headerReference w:type="default" r:id="rId10"/>
          <w:footerReference w:type="even" r:id="rId11"/>
          <w:footerReference w:type="default" r:id="rId12"/>
          <w:pgSz w:w="11906" w:h="16838"/>
          <w:pgMar w:top="1134" w:right="850" w:bottom="1134" w:left="1701" w:header="567" w:footer="567" w:gutter="0"/>
          <w:pgNumType w:start="1"/>
          <w:cols w:space="708"/>
          <w:docGrid w:linePitch="360"/>
          <w:titlePg/>
        </w:sectPr>
      </w:pPr>
    </w:p>
    <w:p>
      <w:pPr>
        <w:pStyle w:val="1"/>
        <w:spacing w:before="0" w:after="0"/>
        <w:ind w:left="-567"/>
        <w:jc w:val="center"/>
        <w:rPr>
          <w:rFonts w:ascii="Times New Roman" w:hAnsi="Times New Roman"/>
          <w:b w:val="0"/>
          <w:sz w:val="28"/>
          <w:szCs w:val="28"/>
          <w:highlight w:val="white"/>
        </w:rPr>
      </w:pPr>
      <w:r>
        <w:rPr>
          <w:rFonts w:ascii="Times New Roman" w:hAnsi="Times New Roman"/>
          <w:b w:val="0"/>
          <w:sz w:val="28"/>
          <w:szCs w:val="28"/>
          <w:highlight w:val="white"/>
        </w:rPr>
        <w:t xml:space="preserve">Основные параметры прогноза социально-экономического развития Оренбургской области </w:t>
      </w:r>
    </w:p>
    <w:p>
      <w:pPr>
        <w:pStyle w:val="1"/>
        <w:spacing w:before="0" w:after="0"/>
        <w:ind w:left="-567"/>
        <w:jc w:val="center"/>
        <w:rPr>
          <w:rFonts w:ascii="Times New Roman" w:hAnsi="Times New Roman"/>
          <w:b w:val="0"/>
          <w:sz w:val="28"/>
          <w:szCs w:val="28"/>
          <w:highlight w:val="white"/>
        </w:rPr>
      </w:pPr>
      <w:r>
        <w:rPr>
          <w:rFonts w:ascii="Times New Roman" w:hAnsi="Times New Roman"/>
          <w:b w:val="0"/>
          <w:sz w:val="28"/>
          <w:szCs w:val="28"/>
          <w:highlight w:val="white"/>
        </w:rPr>
        <w:t xml:space="preserve">на 2026 год и на плановый период 2027 и 2028 годов </w:t>
      </w:r>
    </w:p>
    <w:p>
      <w:pPr>
        <w:rPr>
          <w:highlight w:val="yellow"/>
        </w:rPr>
      </w:pPr>
    </w:p>
    <w:tbl>
      <w:tblPr>
        <w:tblStyle w:val="afc"/>
        <w:tblW w:w="16015" w:type="dxa"/>
        <w:tblInd w:w="-431" w:type="dxa"/>
        <w:tblLook w:val="04A0" w:firstRow="1" w:lastRow="0" w:firstColumn="1" w:lastColumn="0" w:noHBand="0" w:noVBand="1"/>
      </w:tblPr>
      <w:tblGrid>
        <w:gridCol w:w="539"/>
        <w:gridCol w:w="1587"/>
        <w:gridCol w:w="1417"/>
        <w:gridCol w:w="1417"/>
        <w:gridCol w:w="1417"/>
        <w:gridCol w:w="1701"/>
        <w:gridCol w:w="1474"/>
        <w:gridCol w:w="1701"/>
        <w:gridCol w:w="1644"/>
        <w:gridCol w:w="1757"/>
        <w:gridCol w:w="1361"/>
      </w:tblGrid>
      <w:tr>
        <w:tc>
          <w:tcPr>
            <w:tcW w:w="539" w:type="dxa"/>
            <w:vMerge w:val="restart"/>
            <w:tcBorders>
              <w:bottom w:val="none"/>
            </w:tcBorders>
          </w:tcPr>
          <w:p>
            <w:pPr>
              <w:spacing w:line="17" w:lineRule="atLeast"/>
              <w:ind w:left="-108" w:right="-108"/>
              <w:jc w:val="center"/>
              <w:rPr>
                <w:spacing w:val="-4"/>
              </w:rPr>
            </w:pPr>
            <w:r>
              <w:rPr>
                <w:spacing w:val="-4"/>
              </w:rPr>
              <w:t xml:space="preserve">№ п/п</w:t>
            </w:r>
          </w:p>
        </w:tc>
        <w:tc>
          <w:tcPr>
            <w:tcW w:w="1587" w:type="dxa"/>
            <w:vMerge w:val="restart"/>
            <w:tcBorders>
              <w:bottom w:val="none"/>
            </w:tcBorders>
          </w:tcPr>
          <w:p>
            <w:pPr>
              <w:spacing w:line="17" w:lineRule="atLeast"/>
              <w:ind w:left="-108" w:right="-108"/>
              <w:jc w:val="center"/>
              <w:rPr>
                <w:spacing w:val="-4"/>
              </w:rPr>
            </w:pPr>
            <w:r>
              <w:rPr>
                <w:spacing w:val="-4"/>
              </w:rPr>
              <w:t xml:space="preserve">Наименование </w:t>
            </w:r>
          </w:p>
          <w:p>
            <w:pPr>
              <w:spacing w:line="17" w:lineRule="atLeast"/>
              <w:ind w:left="-108" w:right="-108"/>
              <w:jc w:val="center"/>
              <w:rPr>
                <w:spacing w:val="-4"/>
              </w:rPr>
            </w:pPr>
            <w:r>
              <w:rPr>
                <w:spacing w:val="-4"/>
              </w:rPr>
              <w:t xml:space="preserve">параметра</w:t>
            </w:r>
          </w:p>
        </w:tc>
        <w:tc>
          <w:tcPr>
            <w:tcW w:w="1417" w:type="dxa"/>
            <w:vMerge w:val="restart"/>
            <w:tcBorders>
              <w:bottom w:val="none"/>
            </w:tcBorders>
          </w:tcPr>
          <w:p>
            <w:pPr>
              <w:spacing w:line="17" w:lineRule="atLeast"/>
              <w:ind w:left="-108" w:right="-108"/>
              <w:jc w:val="center"/>
            </w:pPr>
            <w:r>
              <w:t xml:space="preserve">Единица</w:t>
            </w:r>
          </w:p>
          <w:p>
            <w:pPr>
              <w:pStyle w:val="aff4"/>
              <w:spacing w:line="17" w:lineRule="atLeast"/>
              <w:ind w:left="-108" w:right="-108"/>
              <w:rPr>
                <w:rFonts w:ascii="Times New Roman" w:hAnsi="Times New Roman"/>
                <w:b w:val="0"/>
                <w:bCs w:val="0"/>
                <w:sz w:val="20"/>
                <w:szCs w:val="20"/>
              </w:rPr>
            </w:pPr>
            <w:r>
              <w:rPr>
                <w:rFonts w:ascii="Times New Roman" w:hAnsi="Times New Roman"/>
                <w:b w:val="0"/>
                <w:bCs w:val="0"/>
                <w:sz w:val="24"/>
                <w:szCs w:val="24"/>
              </w:rPr>
              <w:t xml:space="preserve">измерения</w:t>
            </w:r>
          </w:p>
        </w:tc>
        <w:tc>
          <w:tcPr>
            <w:tcW w:w="1417" w:type="dxa"/>
            <w:vMerge w:val="restart"/>
            <w:tcBorders>
              <w:bottom w:val="none"/>
            </w:tcBorders>
          </w:tcPr>
          <w:p>
            <w:pPr>
              <w:spacing w:line="17" w:lineRule="atLeast"/>
              <w:ind w:left="-108" w:right="-108"/>
              <w:jc w:val="center"/>
              <w:rPr>
                <w:spacing w:val="-4"/>
              </w:rPr>
            </w:pPr>
            <w:r>
              <w:rPr>
                <w:spacing w:val="-4"/>
              </w:rPr>
              <w:t xml:space="preserve">2024 год</w:t>
            </w:r>
          </w:p>
          <w:p>
            <w:pPr>
              <w:spacing w:line="17" w:lineRule="atLeast"/>
              <w:ind w:left="-108" w:right="-108"/>
              <w:jc w:val="center"/>
              <w:rPr>
                <w:spacing w:val="-4"/>
              </w:rPr>
            </w:pPr>
            <w:r>
              <w:rPr>
                <w:spacing w:val="-4"/>
              </w:rPr>
              <w:t xml:space="preserve">(отчет)</w:t>
            </w:r>
          </w:p>
        </w:tc>
        <w:tc>
          <w:tcPr>
            <w:tcW w:w="1417" w:type="dxa"/>
            <w:vMerge w:val="restart"/>
            <w:tcBorders>
              <w:bottom w:val="none"/>
            </w:tcBorders>
          </w:tcPr>
          <w:p>
            <w:pPr>
              <w:spacing w:line="17" w:lineRule="atLeast"/>
              <w:ind w:left="-108" w:right="-107"/>
              <w:jc w:val="center"/>
            </w:pPr>
            <w:r>
              <w:t xml:space="preserve">2025 год (оценка)</w:t>
            </w:r>
          </w:p>
        </w:tc>
        <w:tc>
          <w:tcPr>
            <w:tcW w:w="3175" w:type="dxa"/>
            <w:gridSpan w:val="2"/>
          </w:tcPr>
          <w:p>
            <w:pPr>
              <w:pStyle w:val="aff4"/>
              <w:spacing w:line="17" w:lineRule="atLeast"/>
              <w:ind w:left="-109" w:right="-108"/>
              <w:rPr>
                <w:rFonts w:ascii="Times New Roman" w:hAnsi="Times New Roman"/>
                <w:b w:val="0"/>
                <w:bCs w:val="0"/>
                <w:spacing w:val="-4"/>
                <w:sz w:val="24"/>
                <w:szCs w:val="24"/>
              </w:rPr>
            </w:pPr>
            <w:r>
              <w:rPr>
                <w:rFonts w:ascii="Times New Roman" w:hAnsi="Times New Roman"/>
                <w:b w:val="0"/>
                <w:sz w:val="24"/>
                <w:szCs w:val="24"/>
              </w:rPr>
              <w:t xml:space="preserve">2026 год</w:t>
            </w:r>
          </w:p>
        </w:tc>
        <w:tc>
          <w:tcPr>
            <w:tcW w:w="3345" w:type="dxa"/>
            <w:gridSpan w:val="2"/>
          </w:tcPr>
          <w:p>
            <w:pPr>
              <w:spacing w:line="17" w:lineRule="atLeast"/>
              <w:jc w:val="center"/>
            </w:pPr>
            <w:r>
              <w:rPr>
                <w:bCs/>
              </w:rPr>
              <w:t xml:space="preserve">20</w:t>
            </w:r>
            <w:r>
              <w:rPr>
                <w:bCs/>
                <w:lang w:val="en-US"/>
              </w:rPr>
              <w:t xml:space="preserve">27</w:t>
            </w:r>
            <w:r>
              <w:rPr>
                <w:bCs/>
              </w:rPr>
              <w:t xml:space="preserve"> год</w:t>
            </w:r>
          </w:p>
        </w:tc>
        <w:tc>
          <w:tcPr>
            <w:tcW w:w="3118" w:type="dxa"/>
            <w:gridSpan w:val="2"/>
          </w:tcPr>
          <w:p>
            <w:pPr>
              <w:spacing w:line="17" w:lineRule="atLeast"/>
              <w:jc w:val="center"/>
            </w:pPr>
            <w:r>
              <w:rPr>
                <w:bCs/>
                <w:spacing w:val="-4"/>
                <w:lang w:val="en-US"/>
              </w:rPr>
              <w:t xml:space="preserve">2028 </w:t>
            </w:r>
            <w:r>
              <w:rPr>
                <w:bCs/>
                <w:spacing w:val="-4"/>
              </w:rPr>
              <w:t xml:space="preserve">год</w:t>
            </w:r>
          </w:p>
        </w:tc>
      </w:tr>
      <w:tr>
        <w:tc>
          <w:tcPr>
            <w:tcW w:w="539" w:type="dxa"/>
            <w:vMerge w:val="continue"/>
            <w:tcBorders>
              <w:bottom w:val="none"/>
            </w:tcBorders>
          </w:tcPr>
          <w:p>
            <w:pPr>
              <w:rPr>
                <w:b/>
                <w:bCs/>
                <w:spacing w:val="-4"/>
              </w:rPr>
            </w:pPr>
          </w:p>
        </w:tc>
        <w:tc>
          <w:tcPr>
            <w:tcW w:w="1587" w:type="dxa"/>
            <w:vMerge w:val="continue"/>
            <w:tcBorders>
              <w:bottom w:val="none"/>
            </w:tcBorders>
          </w:tcPr>
          <w:p>
            <w:pPr>
              <w:rPr>
                <w:b/>
                <w:bCs/>
                <w:spacing w:val="-4"/>
              </w:rPr>
            </w:pPr>
          </w:p>
        </w:tc>
        <w:tc>
          <w:tcPr>
            <w:tcW w:w="1417" w:type="dxa"/>
            <w:vMerge w:val="continue"/>
            <w:tcBorders>
              <w:bottom w:val="none"/>
            </w:tcBorders>
          </w:tcPr>
          <w:p>
            <w:pPr>
              <w:pStyle w:val="aff4"/>
              <w:rPr>
                <w:rFonts w:ascii="Times New Roman" w:hAnsi="Times New Roman"/>
                <w:b w:val="0"/>
                <w:bCs w:val="0"/>
                <w:sz w:val="20"/>
                <w:szCs w:val="20"/>
              </w:rPr>
            </w:pPr>
          </w:p>
        </w:tc>
        <w:tc>
          <w:tcPr>
            <w:tcW w:w="1417" w:type="dxa"/>
            <w:vMerge w:val="continue"/>
            <w:tcBorders>
              <w:bottom w:val="none"/>
            </w:tcBorders>
          </w:tcPr>
          <w:p>
            <w:pPr>
              <w:jc w:val="center"/>
              <w:rPr>
                <w:spacing w:val="-4"/>
              </w:rPr>
            </w:pPr>
          </w:p>
        </w:tc>
        <w:tc>
          <w:tcPr>
            <w:tcW w:w="1417" w:type="dxa"/>
            <w:vMerge w:val="continue"/>
            <w:tcBorders>
              <w:bottom w:val="none"/>
            </w:tcBorders>
          </w:tcPr>
          <w:p>
            <w:pPr>
              <w:jc w:val="center"/>
            </w:pPr>
          </w:p>
        </w:tc>
        <w:tc>
          <w:tcPr>
            <w:tcW w:w="1701" w:type="dxa"/>
            <w:tcBorders>
              <w:bottom w:val="single" w:color="000000" w:sz="4" w:space="0"/>
            </w:tcBorders>
          </w:tcPr>
          <w:p>
            <w:pPr>
              <w:spacing w:line="17" w:lineRule="atLeast"/>
              <w:ind w:left="-108" w:right="-108"/>
              <w:jc w:val="center"/>
            </w:pPr>
            <w:r>
              <w:t xml:space="preserve">1 вариант</w:t>
            </w:r>
          </w:p>
        </w:tc>
        <w:tc>
          <w:tcPr>
            <w:tcW w:w="1474" w:type="dxa"/>
            <w:tcBorders>
              <w:bottom w:val="single" w:color="000000" w:sz="4" w:space="0"/>
            </w:tcBorders>
          </w:tcPr>
          <w:p>
            <w:pPr>
              <w:spacing w:line="17" w:lineRule="atLeast"/>
              <w:ind w:left="-108" w:right="-108"/>
              <w:jc w:val="center"/>
            </w:pPr>
            <w:r>
              <w:t xml:space="preserve">2 вариант</w:t>
            </w:r>
          </w:p>
        </w:tc>
        <w:tc>
          <w:tcPr>
            <w:tcW w:w="1701" w:type="dxa"/>
            <w:tcBorders>
              <w:bottom w:val="single" w:color="000000" w:sz="4" w:space="0"/>
            </w:tcBorders>
          </w:tcPr>
          <w:p>
            <w:pPr>
              <w:spacing w:line="17" w:lineRule="atLeast"/>
              <w:ind w:left="-108" w:right="-109"/>
              <w:jc w:val="center"/>
              <w:rPr>
                <w:spacing w:val="-4"/>
              </w:rPr>
            </w:pPr>
            <w:r>
              <w:rPr>
                <w:spacing w:val="-4"/>
              </w:rPr>
              <w:t xml:space="preserve">1 вариант</w:t>
            </w:r>
          </w:p>
        </w:tc>
        <w:tc>
          <w:tcPr>
            <w:tcW w:w="1644" w:type="dxa"/>
            <w:tcBorders>
              <w:bottom w:val="single" w:color="000000" w:sz="4" w:space="0"/>
            </w:tcBorders>
          </w:tcPr>
          <w:p>
            <w:pPr>
              <w:spacing w:line="17" w:lineRule="atLeast"/>
              <w:ind w:left="-107" w:right="-108"/>
              <w:jc w:val="center"/>
              <w:rPr>
                <w:spacing w:val="-4"/>
              </w:rPr>
            </w:pPr>
            <w:r>
              <w:rPr>
                <w:spacing w:val="-4"/>
              </w:rPr>
              <w:t xml:space="preserve">2 вариант</w:t>
            </w:r>
          </w:p>
        </w:tc>
        <w:tc>
          <w:tcPr>
            <w:tcW w:w="1757" w:type="dxa"/>
            <w:tcBorders>
              <w:bottom w:val="single" w:color="000000" w:sz="4" w:space="0"/>
            </w:tcBorders>
          </w:tcPr>
          <w:p>
            <w:pPr>
              <w:spacing w:line="17" w:lineRule="atLeast"/>
              <w:ind w:left="-108" w:right="-108"/>
              <w:jc w:val="center"/>
              <w:rPr>
                <w:spacing w:val="-4"/>
              </w:rPr>
            </w:pPr>
            <w:r>
              <w:rPr>
                <w:spacing w:val="-4"/>
              </w:rPr>
              <w:t xml:space="preserve">1 вариант</w:t>
            </w:r>
          </w:p>
        </w:tc>
        <w:tc>
          <w:tcPr>
            <w:tcW w:w="1361" w:type="dxa"/>
            <w:tcBorders>
              <w:bottom w:val="single" w:color="000000" w:sz="4" w:space="0"/>
            </w:tcBorders>
          </w:tcPr>
          <w:p>
            <w:pPr>
              <w:spacing w:line="17" w:lineRule="atLeast"/>
              <w:ind w:left="-108" w:right="-108"/>
              <w:jc w:val="center"/>
              <w:rPr>
                <w:spacing w:val="-4"/>
              </w:rPr>
            </w:pPr>
            <w:r>
              <w:rPr>
                <w:spacing w:val="-4"/>
              </w:rPr>
              <w:t xml:space="preserve">2 вариант</w:t>
            </w:r>
          </w:p>
        </w:tc>
      </w:tr>
      <w:tr>
        <w:trPr>
          <w:trHeight w:val="325"/>
        </w:trPr>
        <w:tc>
          <w:tcPr>
            <w:tcW w:w="539" w:type="dxa"/>
            <w:vMerge w:val="continue"/>
            <w:tcBorders>
              <w:bottom w:val="none"/>
            </w:tcBorders>
          </w:tcPr>
          <w:p>
            <w:pPr>
              <w:rPr>
                <w:b/>
                <w:bCs/>
                <w:spacing w:val="-4"/>
              </w:rPr>
            </w:pPr>
          </w:p>
        </w:tc>
        <w:tc>
          <w:tcPr>
            <w:tcW w:w="1587" w:type="dxa"/>
            <w:vMerge w:val="continue"/>
            <w:tcBorders>
              <w:bottom w:val="none"/>
            </w:tcBorders>
          </w:tcPr>
          <w:p>
            <w:pPr>
              <w:rPr>
                <w:b/>
                <w:bCs/>
                <w:spacing w:val="-4"/>
              </w:rPr>
            </w:pPr>
          </w:p>
        </w:tc>
        <w:tc>
          <w:tcPr>
            <w:tcW w:w="1417" w:type="dxa"/>
            <w:vMerge w:val="continue"/>
            <w:tcBorders>
              <w:bottom w:val="none"/>
            </w:tcBorders>
          </w:tcPr>
          <w:p>
            <w:pPr>
              <w:pStyle w:val="aff4"/>
              <w:rPr>
                <w:rFonts w:ascii="Times New Roman" w:hAnsi="Times New Roman"/>
                <w:b w:val="0"/>
                <w:bCs w:val="0"/>
                <w:sz w:val="20"/>
                <w:szCs w:val="20"/>
              </w:rPr>
            </w:pPr>
          </w:p>
        </w:tc>
        <w:tc>
          <w:tcPr>
            <w:tcW w:w="1417" w:type="dxa"/>
            <w:vMerge w:val="continue"/>
            <w:tcBorders>
              <w:bottom w:val="none"/>
            </w:tcBorders>
          </w:tcPr>
          <w:p>
            <w:pPr>
              <w:jc w:val="center"/>
              <w:rPr>
                <w:spacing w:val="-4"/>
              </w:rPr>
            </w:pPr>
          </w:p>
        </w:tc>
        <w:tc>
          <w:tcPr>
            <w:tcW w:w="1417" w:type="dxa"/>
            <w:vMerge w:val="continue"/>
            <w:tcBorders>
              <w:bottom w:val="none"/>
            </w:tcBorders>
          </w:tcPr>
          <w:p>
            <w:pPr>
              <w:jc w:val="center"/>
            </w:pPr>
          </w:p>
        </w:tc>
        <w:tc>
          <w:tcPr>
            <w:tcW w:w="1701" w:type="dxa"/>
            <w:tcBorders>
              <w:bottom w:val="none"/>
            </w:tcBorders>
          </w:tcPr>
          <w:p>
            <w:pPr>
              <w:spacing w:line="17" w:lineRule="atLeast"/>
              <w:ind w:left="-109" w:right="-107"/>
              <w:jc w:val="center"/>
            </w:pPr>
            <w:r>
              <w:t xml:space="preserve">консервативный</w:t>
            </w:r>
          </w:p>
        </w:tc>
        <w:tc>
          <w:tcPr>
            <w:tcW w:w="1474" w:type="dxa"/>
            <w:tcBorders>
              <w:bottom w:val="none"/>
            </w:tcBorders>
          </w:tcPr>
          <w:p>
            <w:pPr>
              <w:spacing w:line="17" w:lineRule="atLeast"/>
              <w:ind w:left="-109" w:right="-107"/>
              <w:jc w:val="center"/>
            </w:pPr>
            <w:r>
              <w:t xml:space="preserve">базовый</w:t>
            </w:r>
          </w:p>
        </w:tc>
        <w:tc>
          <w:tcPr>
            <w:tcW w:w="1701" w:type="dxa"/>
            <w:tcBorders>
              <w:bottom w:val="none"/>
            </w:tcBorders>
          </w:tcPr>
          <w:p>
            <w:pPr>
              <w:spacing w:line="17" w:lineRule="atLeast"/>
              <w:ind w:left="-109" w:right="-107"/>
              <w:jc w:val="center"/>
            </w:pPr>
            <w:r>
              <w:t xml:space="preserve">консервативный</w:t>
            </w:r>
          </w:p>
        </w:tc>
        <w:tc>
          <w:tcPr>
            <w:tcW w:w="1644" w:type="dxa"/>
            <w:tcBorders>
              <w:bottom w:val="none"/>
            </w:tcBorders>
          </w:tcPr>
          <w:p>
            <w:pPr>
              <w:spacing w:line="17" w:lineRule="atLeast"/>
              <w:ind w:left="-109" w:right="-107"/>
              <w:jc w:val="center"/>
            </w:pPr>
            <w:r>
              <w:t xml:space="preserve">базовый</w:t>
            </w:r>
          </w:p>
        </w:tc>
        <w:tc>
          <w:tcPr>
            <w:tcW w:w="1757" w:type="dxa"/>
            <w:tcBorders>
              <w:bottom w:val="none"/>
            </w:tcBorders>
          </w:tcPr>
          <w:p>
            <w:pPr>
              <w:spacing w:line="17" w:lineRule="atLeast"/>
              <w:ind w:left="-109" w:right="-107"/>
              <w:jc w:val="center"/>
            </w:pPr>
            <w:r>
              <w:t xml:space="preserve">консервативный</w:t>
            </w:r>
          </w:p>
        </w:tc>
        <w:tc>
          <w:tcPr>
            <w:tcW w:w="1361" w:type="dxa"/>
            <w:tcBorders>
              <w:bottom w:val="none"/>
            </w:tcBorders>
          </w:tcPr>
          <w:p>
            <w:pPr>
              <w:spacing w:line="17" w:lineRule="atLeast"/>
              <w:ind w:left="-109" w:right="-107"/>
              <w:jc w:val="center"/>
            </w:pPr>
            <w:r>
              <w:t xml:space="preserve">базовый</w:t>
            </w:r>
          </w:p>
        </w:tc>
      </w:tr>
    </w:tbl>
    <w:p>
      <w:pPr>
        <w:spacing w:line="17" w:lineRule="atLeast"/>
        <w:rPr>
          <w:sz w:val="2"/>
          <w:szCs w:val="2"/>
        </w:rPr>
      </w:pPr>
    </w:p>
    <w:tbl>
      <w:tblPr>
        <w:tblW w:w="1602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39"/>
        <w:gridCol w:w="1589"/>
        <w:gridCol w:w="1418"/>
        <w:gridCol w:w="1417"/>
        <w:gridCol w:w="1418"/>
        <w:gridCol w:w="1701"/>
        <w:gridCol w:w="1444"/>
        <w:gridCol w:w="29"/>
        <w:gridCol w:w="1673"/>
        <w:gridCol w:w="29"/>
        <w:gridCol w:w="1644"/>
        <w:gridCol w:w="1729"/>
        <w:gridCol w:w="29"/>
        <w:gridCol w:w="1361"/>
      </w:tblGrid>
      <w:tr>
        <w:trPr>
          <w:tblHeader/>
        </w:trPr>
        <w:tc>
          <w:tcPr>
            <w:tcW w:w="539" w:type="dxa"/>
            <w:tcBorders>
              <w:left w:val="single" w:color="auto" w:sz="4" w:space="0"/>
              <w:bottom w:val="single" w:color="auto" w:sz="4" w:space="0"/>
              <w:right w:val="single" w:color="auto" w:sz="4" w:space="0"/>
            </w:tcBorders>
          </w:tcPr>
          <w:p>
            <w:pPr>
              <w:spacing w:line="17" w:lineRule="atLeast"/>
              <w:jc w:val="center"/>
              <w:rPr>
                <w:bCs/>
                <w:spacing w:val="-4"/>
              </w:rPr>
            </w:pPr>
            <w:r>
              <w:rPr>
                <w:bCs/>
                <w:spacing w:val="-4"/>
              </w:rPr>
              <w:t xml:space="preserve">1</w:t>
            </w:r>
          </w:p>
        </w:tc>
        <w:tc>
          <w:tcPr>
            <w:tcW w:w="1589" w:type="dxa"/>
            <w:tcBorders>
              <w:left w:val="single" w:color="auto" w:sz="4" w:space="0"/>
              <w:bottom w:val="single" w:color="auto" w:sz="4" w:space="0"/>
              <w:right w:val="single" w:color="auto" w:sz="4" w:space="0"/>
            </w:tcBorders>
          </w:tcPr>
          <w:p>
            <w:pPr>
              <w:pStyle w:val="aff4"/>
              <w:spacing w:line="17" w:lineRule="atLeast"/>
              <w:rPr>
                <w:rFonts w:ascii="Times New Roman" w:hAnsi="Times New Roman"/>
                <w:b w:val="0"/>
                <w:bCs w:val="0"/>
                <w:sz w:val="24"/>
                <w:szCs w:val="24"/>
              </w:rPr>
            </w:pPr>
            <w:r>
              <w:rPr>
                <w:rFonts w:ascii="Times New Roman" w:hAnsi="Times New Roman"/>
                <w:b w:val="0"/>
                <w:bCs w:val="0"/>
                <w:sz w:val="24"/>
                <w:szCs w:val="24"/>
              </w:rPr>
              <w:t xml:space="preserve">2</w:t>
            </w:r>
          </w:p>
        </w:tc>
        <w:tc>
          <w:tcPr>
            <w:tcW w:w="1418" w:type="dxa"/>
            <w:tcBorders>
              <w:left w:val="single" w:color="auto" w:sz="4" w:space="0"/>
              <w:bottom w:val="single" w:color="auto" w:sz="4" w:space="0"/>
              <w:right w:val="single" w:color="auto" w:sz="4" w:space="0"/>
            </w:tcBorders>
          </w:tcPr>
          <w:p>
            <w:pPr>
              <w:spacing w:line="17" w:lineRule="atLeast"/>
              <w:jc w:val="center"/>
              <w:rPr>
                <w:spacing w:val="-4"/>
              </w:rPr>
            </w:pPr>
            <w:r>
              <w:rPr>
                <w:spacing w:val="-4"/>
              </w:rPr>
              <w:t xml:space="preserve">3</w:t>
            </w:r>
          </w:p>
        </w:tc>
        <w:tc>
          <w:tcPr>
            <w:tcW w:w="1417" w:type="dxa"/>
            <w:tcBorders>
              <w:left w:val="single" w:color="auto" w:sz="4" w:space="0"/>
              <w:bottom w:val="single" w:color="auto" w:sz="4" w:space="0"/>
              <w:right w:val="single" w:color="auto" w:sz="4" w:space="0"/>
            </w:tcBorders>
          </w:tcPr>
          <w:p>
            <w:pPr>
              <w:spacing w:line="17" w:lineRule="atLeast"/>
              <w:jc w:val="center"/>
            </w:pPr>
            <w:r>
              <w:t xml:space="preserve">4</w:t>
            </w:r>
          </w:p>
        </w:tc>
        <w:tc>
          <w:tcPr>
            <w:tcW w:w="1418" w:type="dxa"/>
            <w:tcBorders>
              <w:left w:val="single" w:color="auto" w:sz="4" w:space="0"/>
              <w:bottom w:val="single" w:color="auto" w:sz="4" w:space="0"/>
              <w:right w:val="single" w:color="auto" w:sz="4" w:space="0"/>
            </w:tcBorders>
          </w:tcPr>
          <w:p>
            <w:pPr>
              <w:spacing w:line="17" w:lineRule="atLeast"/>
              <w:ind w:left="-109" w:right="-107"/>
              <w:jc w:val="center"/>
            </w:pPr>
            <w:r>
              <w:t xml:space="preserve">5</w:t>
            </w:r>
          </w:p>
        </w:tc>
        <w:tc>
          <w:tcPr>
            <w:tcW w:w="1701" w:type="dxa"/>
            <w:tcBorders>
              <w:top w:val="single" w:color="auto" w:sz="4" w:space="0"/>
              <w:left w:val="single" w:color="auto" w:sz="4" w:space="0"/>
              <w:bottom w:val="single" w:color="auto" w:sz="4" w:space="0"/>
              <w:right w:val="single" w:color="auto" w:sz="4" w:space="0"/>
            </w:tcBorders>
          </w:tcPr>
          <w:p>
            <w:pPr>
              <w:spacing w:line="17" w:lineRule="atLeast"/>
              <w:ind w:left="-109" w:right="-107"/>
              <w:jc w:val="center"/>
            </w:pPr>
            <w:r>
              <w:t xml:space="preserve">6</w:t>
            </w:r>
          </w:p>
        </w:tc>
        <w:tc>
          <w:tcPr>
            <w:tcW w:w="1473" w:type="dxa"/>
            <w:gridSpan w:val="2"/>
            <w:tcBorders>
              <w:top w:val="single" w:color="auto" w:sz="4" w:space="0"/>
              <w:left w:val="single" w:color="auto" w:sz="4" w:space="0"/>
              <w:bottom w:val="single" w:color="auto" w:sz="4" w:space="0"/>
              <w:right w:val="single" w:color="auto" w:sz="4" w:space="0"/>
            </w:tcBorders>
          </w:tcPr>
          <w:p>
            <w:pPr>
              <w:spacing w:line="17" w:lineRule="atLeast"/>
              <w:ind w:left="-109" w:right="-107"/>
              <w:jc w:val="center"/>
            </w:pPr>
            <w:r>
              <w:t xml:space="preserve">7</w:t>
            </w:r>
          </w:p>
        </w:tc>
        <w:tc>
          <w:tcPr>
            <w:tcW w:w="1702" w:type="dxa"/>
            <w:gridSpan w:val="2"/>
            <w:tcBorders>
              <w:top w:val="single" w:color="auto" w:sz="4" w:space="0"/>
              <w:left w:val="single" w:color="auto" w:sz="4" w:space="0"/>
              <w:bottom w:val="single" w:color="auto" w:sz="4" w:space="0"/>
              <w:right w:val="single" w:color="auto" w:sz="4" w:space="0"/>
            </w:tcBorders>
          </w:tcPr>
          <w:p>
            <w:pPr>
              <w:spacing w:line="17" w:lineRule="atLeast"/>
              <w:ind w:left="-109" w:right="-107"/>
              <w:jc w:val="center"/>
            </w:pPr>
            <w:r>
              <w:t xml:space="preserve">8</w:t>
            </w:r>
          </w:p>
        </w:tc>
        <w:tc>
          <w:tcPr>
            <w:tcW w:w="1644" w:type="dxa"/>
            <w:tcBorders>
              <w:top w:val="single" w:color="auto" w:sz="4" w:space="0"/>
              <w:left w:val="single" w:color="auto" w:sz="4" w:space="0"/>
              <w:bottom w:val="single" w:color="auto" w:sz="4" w:space="0"/>
              <w:right w:val="single" w:color="auto" w:sz="4" w:space="0"/>
            </w:tcBorders>
          </w:tcPr>
          <w:p>
            <w:pPr>
              <w:spacing w:line="17" w:lineRule="atLeast"/>
              <w:ind w:left="-109" w:right="-107"/>
              <w:jc w:val="center"/>
            </w:pPr>
            <w:r>
              <w:t xml:space="preserve">9</w:t>
            </w:r>
          </w:p>
        </w:tc>
        <w:tc>
          <w:tcPr>
            <w:tcW w:w="1758" w:type="dxa"/>
            <w:gridSpan w:val="2"/>
            <w:tcBorders>
              <w:top w:val="single" w:color="auto" w:sz="4" w:space="0"/>
              <w:left w:val="single" w:color="auto" w:sz="4" w:space="0"/>
              <w:bottom w:val="single" w:color="auto" w:sz="4" w:space="0"/>
              <w:right w:val="single" w:color="auto" w:sz="4" w:space="0"/>
            </w:tcBorders>
          </w:tcPr>
          <w:p>
            <w:pPr>
              <w:spacing w:line="17" w:lineRule="atLeast"/>
              <w:ind w:left="-109" w:right="-107"/>
              <w:jc w:val="center"/>
            </w:pPr>
            <w:r>
              <w:t xml:space="preserve">10</w:t>
            </w:r>
          </w:p>
        </w:tc>
        <w:tc>
          <w:tcPr>
            <w:tcW w:w="1361" w:type="dxa"/>
            <w:tcBorders>
              <w:top w:val="single" w:color="auto" w:sz="4" w:space="0"/>
              <w:left w:val="single" w:color="auto" w:sz="4" w:space="0"/>
              <w:bottom w:val="single" w:color="auto" w:sz="4" w:space="0"/>
              <w:right w:val="single" w:color="auto" w:sz="4" w:space="0"/>
            </w:tcBorders>
          </w:tcPr>
          <w:p>
            <w:pPr>
              <w:spacing w:line="17" w:lineRule="atLeast"/>
              <w:ind w:left="-109" w:right="-107"/>
              <w:jc w:val="center"/>
            </w:pPr>
            <w:r>
              <w:t xml:space="preserve">11</w:t>
            </w:r>
          </w:p>
        </w:tc>
      </w:tr>
      <w:tr>
        <w:trPr>
          <w:trHeight w:val="311"/>
        </w:trPr>
        <w:tc>
          <w:tcPr>
            <w:tcW w:w="16020" w:type="dxa"/>
            <w:gridSpan w:val="14"/>
            <w:tcBorders>
              <w:top w:val="single" w:color="auto" w:sz="4" w:space="0"/>
              <w:left w:val="single" w:color="auto" w:sz="4" w:space="0"/>
              <w:bottom w:val="single" w:color="auto" w:sz="4" w:space="0"/>
              <w:right w:val="single" w:color="auto" w:sz="4" w:space="0"/>
            </w:tcBorders>
          </w:tcPr>
          <w:p>
            <w:pPr>
              <w:ind w:left="-108" w:right="-107"/>
              <w:jc w:val="center"/>
              <w:rPr>
                <w:color w:val="000000"/>
                <w:spacing w:val="-4"/>
              </w:rPr>
            </w:pPr>
            <w:r>
              <w:rPr>
                <w:spacing w:val="-4"/>
              </w:rPr>
              <w:t xml:space="preserve">ВРП</w:t>
            </w:r>
          </w:p>
        </w:tc>
      </w:tr>
      <w:tr>
        <w:trPr>
          <w:trHeight w:val="472"/>
        </w:trPr>
        <w:tc>
          <w:tcPr>
            <w:tcW w:w="539" w:type="dxa"/>
            <w:tcBorders>
              <w:top w:val="single" w:color="auto" w:sz="4" w:space="0"/>
              <w:left w:val="single" w:color="auto" w:sz="4" w:space="0"/>
              <w:bottom w:val="single" w:color="auto" w:sz="4" w:space="0"/>
              <w:right w:val="single" w:color="auto" w:sz="4" w:space="0"/>
            </w:tcBorders>
          </w:tcPr>
          <w:p>
            <w:pPr>
              <w:rPr>
                <w:spacing w:val="-4"/>
              </w:rPr>
            </w:pPr>
            <w:r>
              <w:rPr>
                <w:spacing w:val="-4"/>
              </w:rPr>
              <w:t xml:space="preserve">1.</w:t>
            </w:r>
          </w:p>
        </w:tc>
        <w:tc>
          <w:tcPr>
            <w:tcW w:w="1589" w:type="dxa"/>
            <w:tcBorders>
              <w:top w:val="single" w:color="auto" w:sz="4" w:space="0"/>
              <w:left w:val="single" w:color="auto" w:sz="4" w:space="0"/>
              <w:bottom w:val="single" w:color="auto" w:sz="4" w:space="0"/>
              <w:right w:val="single" w:color="auto" w:sz="4" w:space="0"/>
            </w:tcBorders>
          </w:tcPr>
          <w:p>
            <w:pPr>
              <w:rPr>
                <w:spacing w:val="-4"/>
              </w:rPr>
            </w:pPr>
            <w:r>
              <w:rPr>
                <w:spacing w:val="-4"/>
              </w:rPr>
              <w:t xml:space="preserve">ВРП</w:t>
            </w:r>
          </w:p>
        </w:tc>
        <w:tc>
          <w:tcPr>
            <w:tcW w:w="1418" w:type="dxa"/>
            <w:tcBorders>
              <w:top w:val="single" w:color="auto" w:sz="4" w:space="0"/>
              <w:left w:val="single" w:color="auto" w:sz="4" w:space="0"/>
              <w:bottom w:val="single" w:color="auto" w:sz="4" w:space="0"/>
              <w:right w:val="single" w:color="auto" w:sz="4" w:space="0"/>
            </w:tcBorders>
          </w:tcPr>
          <w:p>
            <w:pPr>
              <w:jc w:val="center"/>
            </w:pPr>
            <w:r>
              <w:t xml:space="preserve">млн.</w:t>
            </w:r>
          </w:p>
          <w:p>
            <w:pPr>
              <w:jc w:val="center"/>
            </w:pPr>
            <w:r>
              <w:t xml:space="preserve">рублей</w:t>
            </w:r>
          </w:p>
        </w:tc>
        <w:tc>
          <w:tcPr>
            <w:tcW w:w="1417" w:type="dxa"/>
            <w:tcBorders>
              <w:top w:val="single" w:color="auto" w:sz="4" w:space="0"/>
              <w:left w:val="single" w:color="auto" w:sz="4" w:space="0"/>
              <w:bottom w:val="single" w:color="auto" w:sz="4" w:space="0"/>
              <w:right w:val="single" w:color="auto" w:sz="4" w:space="0"/>
            </w:tcBorders>
          </w:tcPr>
          <w:p>
            <w:pPr>
              <w:jc w:val="center"/>
              <w:rPr>
                <w:color w:val="000000" w:themeColor="text1"/>
              </w:rPr>
            </w:pPr>
            <w:r>
              <w:rPr>
                <w:color w:val="000000" w:themeColor="text1"/>
              </w:rPr>
              <w:t xml:space="preserve">1 997 239,1</w:t>
            </w:r>
          </w:p>
        </w:tc>
        <w:tc>
          <w:tcPr>
            <w:tcW w:w="1418" w:type="dxa"/>
            <w:tcBorders>
              <w:top w:val="single" w:color="auto" w:sz="4" w:space="0"/>
              <w:left w:val="single" w:color="auto" w:sz="4" w:space="0"/>
              <w:bottom w:val="single" w:color="auto" w:sz="4" w:space="0"/>
              <w:right w:val="single" w:color="auto" w:sz="4" w:space="0"/>
            </w:tcBorders>
          </w:tcPr>
          <w:p>
            <w:pPr>
              <w:jc w:val="center"/>
              <w:rPr>
                <w:color w:val="000000" w:themeColor="text1"/>
              </w:rPr>
            </w:pPr>
            <w:r>
              <w:rPr>
                <w:color w:val="000000" w:themeColor="text1"/>
              </w:rPr>
              <w:t xml:space="preserve">2 150 990,8</w:t>
            </w:r>
          </w:p>
        </w:tc>
        <w:tc>
          <w:tcPr>
            <w:tcW w:w="1701" w:type="dxa"/>
            <w:tcBorders>
              <w:top w:val="single" w:color="auto" w:sz="4" w:space="0"/>
              <w:left w:val="single" w:color="auto" w:sz="4" w:space="0"/>
              <w:bottom w:val="single" w:color="auto" w:sz="4" w:space="0"/>
              <w:right w:val="single" w:color="auto" w:sz="4" w:space="0"/>
            </w:tcBorders>
          </w:tcPr>
          <w:p>
            <w:pPr>
              <w:jc w:val="center"/>
              <w:rPr>
                <w:color w:val="000000" w:themeColor="text1"/>
              </w:rPr>
            </w:pPr>
            <w:r>
              <w:rPr>
                <w:color w:val="000000" w:themeColor="text1"/>
              </w:rPr>
              <w:t xml:space="preserve">2 298 505,7</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color w:val="000000" w:themeColor="text1"/>
              </w:rPr>
            </w:pPr>
            <w:r>
              <w:rPr>
                <w:color w:val="000000" w:themeColor="text1"/>
              </w:rPr>
              <w:t xml:space="preserve">2 493 701,7</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color w:val="000000" w:themeColor="text1"/>
              </w:rPr>
            </w:pPr>
            <w:r>
              <w:rPr>
                <w:color w:val="000000" w:themeColor="text1"/>
              </w:rPr>
              <w:t xml:space="preserve">2 670 415,4</w:t>
            </w:r>
          </w:p>
        </w:tc>
        <w:tc>
          <w:tcPr>
            <w:tcW w:w="1644" w:type="dxa"/>
            <w:tcBorders>
              <w:top w:val="single" w:color="auto" w:sz="4" w:space="0"/>
              <w:left w:val="single" w:color="auto" w:sz="4" w:space="0"/>
              <w:bottom w:val="single" w:color="auto" w:sz="4" w:space="0"/>
              <w:right w:val="single" w:color="auto" w:sz="4" w:space="0"/>
            </w:tcBorders>
          </w:tcPr>
          <w:p>
            <w:pPr>
              <w:jc w:val="center"/>
              <w:rPr>
                <w:color w:val="000000" w:themeColor="text1"/>
              </w:rPr>
            </w:pPr>
            <w:r>
              <w:rPr>
                <w:color w:val="000000" w:themeColor="text1"/>
              </w:rPr>
              <w:t xml:space="preserve">2 884 903,1</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color w:val="000000" w:themeColor="text1"/>
              </w:rPr>
            </w:pPr>
            <w:r>
              <w:rPr>
                <w:color w:val="000000" w:themeColor="text1"/>
              </w:rPr>
              <w:t xml:space="preserve">3 077 614,7</w:t>
            </w:r>
          </w:p>
        </w:tc>
        <w:tc>
          <w:tcPr>
            <w:tcW w:w="1361" w:type="dxa"/>
            <w:tcBorders>
              <w:top w:val="single" w:color="auto" w:sz="4" w:space="0"/>
              <w:left w:val="single" w:color="auto" w:sz="4" w:space="0"/>
              <w:bottom w:val="single" w:color="auto" w:sz="4" w:space="0"/>
              <w:right w:val="single" w:color="auto" w:sz="4" w:space="0"/>
            </w:tcBorders>
          </w:tcPr>
          <w:p>
            <w:pPr>
              <w:jc w:val="center"/>
              <w:rPr>
                <w:color w:val="000000" w:themeColor="text1"/>
              </w:rPr>
            </w:pPr>
            <w:r>
              <w:rPr>
                <w:color w:val="000000" w:themeColor="text1"/>
              </w:rPr>
              <w:t xml:space="preserve">3 315 437,3</w:t>
            </w:r>
          </w:p>
        </w:tc>
      </w:tr>
      <w:tr>
        <w:tc>
          <w:tcPr>
            <w:tcW w:w="539" w:type="dxa"/>
            <w:tcBorders>
              <w:top w:val="single" w:color="auto" w:sz="4" w:space="0"/>
              <w:left w:val="single" w:color="auto" w:sz="4" w:space="0"/>
              <w:bottom w:val="single" w:color="auto" w:sz="4" w:space="0"/>
              <w:right w:val="single" w:color="auto" w:sz="4" w:space="0"/>
            </w:tcBorders>
          </w:tcPr>
          <w:p>
            <w:pPr>
              <w:rPr>
                <w:spacing w:val="-4"/>
              </w:rPr>
            </w:pPr>
            <w:r>
              <w:rPr>
                <w:spacing w:val="-4"/>
              </w:rPr>
              <w:t xml:space="preserve">2.</w:t>
            </w:r>
          </w:p>
        </w:tc>
        <w:tc>
          <w:tcPr>
            <w:tcW w:w="1589" w:type="dxa"/>
            <w:tcBorders>
              <w:top w:val="single" w:color="auto" w:sz="4" w:space="0"/>
              <w:left w:val="single" w:color="auto" w:sz="4" w:space="0"/>
              <w:bottom w:val="single" w:color="auto" w:sz="4" w:space="0"/>
              <w:right w:val="single" w:color="auto" w:sz="4" w:space="0"/>
            </w:tcBorders>
          </w:tcPr>
          <w:p>
            <w:pPr>
              <w:rPr>
                <w:b/>
                <w:bCs/>
                <w:spacing w:val="-4"/>
              </w:rPr>
            </w:pPr>
            <w:r>
              <w:rPr>
                <w:spacing w:val="-4"/>
              </w:rPr>
              <w:t xml:space="preserve">Индекс физического  объема ВРП</w:t>
            </w:r>
          </w:p>
        </w:tc>
        <w:tc>
          <w:tcPr>
            <w:tcW w:w="1418" w:type="dxa"/>
            <w:tcBorders>
              <w:top w:val="single" w:color="auto" w:sz="4" w:space="0"/>
              <w:left w:val="single" w:color="auto" w:sz="4" w:space="0"/>
              <w:bottom w:val="single" w:color="auto" w:sz="4" w:space="0"/>
              <w:right w:val="single" w:color="auto" w:sz="4" w:space="0"/>
            </w:tcBorders>
          </w:tcPr>
          <w:p>
            <w:pPr>
              <w:jc w:val="center"/>
            </w:pPr>
            <w:r>
              <w:t xml:space="preserve">процентов к уровню </w:t>
            </w:r>
            <w:r>
              <w:t xml:space="preserve">предыду-щего</w:t>
            </w:r>
            <w:r>
              <w:t xml:space="preserve"> года в </w:t>
            </w:r>
            <w:r>
              <w:t xml:space="preserve">сопостави-мых</w:t>
            </w:r>
            <w:r>
              <w:t xml:space="preserve"> ценах </w:t>
            </w:r>
          </w:p>
        </w:tc>
        <w:tc>
          <w:tcPr>
            <w:tcW w:w="1417" w:type="dxa"/>
            <w:tcBorders>
              <w:top w:val="single" w:color="auto" w:sz="4" w:space="0"/>
              <w:left w:val="single" w:color="auto" w:sz="4" w:space="0"/>
              <w:bottom w:val="single" w:color="auto" w:sz="4" w:space="0"/>
              <w:right w:val="single" w:color="auto" w:sz="4" w:space="0"/>
            </w:tcBorders>
          </w:tcPr>
          <w:p>
            <w:pPr>
              <w:jc w:val="center"/>
              <w:rPr>
                <w:color w:val="000000" w:themeColor="text1"/>
              </w:rPr>
            </w:pPr>
            <w:r>
              <w:rPr>
                <w:color w:val="000000" w:themeColor="text1"/>
              </w:rPr>
              <w:t xml:space="preserve">103,6</w:t>
            </w:r>
          </w:p>
        </w:tc>
        <w:tc>
          <w:tcPr>
            <w:tcW w:w="1418" w:type="dxa"/>
            <w:tcBorders>
              <w:top w:val="single" w:color="auto" w:sz="4" w:space="0"/>
              <w:left w:val="single" w:color="auto" w:sz="4" w:space="0"/>
              <w:bottom w:val="single" w:color="auto" w:sz="4" w:space="0"/>
              <w:right w:val="single" w:color="auto" w:sz="4" w:space="0"/>
            </w:tcBorders>
          </w:tcPr>
          <w:p>
            <w:pPr>
              <w:jc w:val="center"/>
              <w:rPr>
                <w:color w:val="000000" w:themeColor="text1"/>
              </w:rPr>
            </w:pPr>
            <w:r>
              <w:rPr>
                <w:color w:val="000000" w:themeColor="text1"/>
              </w:rPr>
              <w:t xml:space="preserve">100,1</w:t>
            </w:r>
          </w:p>
        </w:tc>
        <w:tc>
          <w:tcPr>
            <w:tcW w:w="1701" w:type="dxa"/>
            <w:tcBorders>
              <w:top w:val="single" w:color="auto" w:sz="4" w:space="0"/>
              <w:left w:val="single" w:color="auto" w:sz="4" w:space="0"/>
              <w:bottom w:val="single" w:color="auto" w:sz="4" w:space="0"/>
              <w:right w:val="single" w:color="auto" w:sz="4" w:space="0"/>
            </w:tcBorders>
          </w:tcPr>
          <w:p>
            <w:pPr>
              <w:jc w:val="center"/>
              <w:rPr>
                <w:color w:val="000000" w:themeColor="text1"/>
              </w:rPr>
            </w:pPr>
            <w:r>
              <w:rPr>
                <w:color w:val="000000" w:themeColor="text1"/>
              </w:rPr>
              <w:t xml:space="preserve">101,0</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color w:val="000000" w:themeColor="text1"/>
              </w:rPr>
            </w:pPr>
            <w:r>
              <w:rPr>
                <w:color w:val="000000" w:themeColor="text1"/>
              </w:rPr>
              <w:t xml:space="preserve">101,3</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color w:val="000000" w:themeColor="text1"/>
              </w:rPr>
            </w:pPr>
            <w:r>
              <w:rPr>
                <w:color w:val="000000" w:themeColor="text1"/>
              </w:rPr>
              <w:t xml:space="preserve">101,6</w:t>
            </w:r>
          </w:p>
        </w:tc>
        <w:tc>
          <w:tcPr>
            <w:tcW w:w="1644" w:type="dxa"/>
            <w:tcBorders>
              <w:top w:val="single" w:color="auto" w:sz="4" w:space="0"/>
              <w:left w:val="single" w:color="auto" w:sz="4" w:space="0"/>
              <w:bottom w:val="single" w:color="auto" w:sz="4" w:space="0"/>
              <w:right w:val="single" w:color="auto" w:sz="4" w:space="0"/>
            </w:tcBorders>
          </w:tcPr>
          <w:p>
            <w:pPr>
              <w:jc w:val="center"/>
              <w:rPr>
                <w:color w:val="000000" w:themeColor="text1"/>
              </w:rPr>
            </w:pPr>
            <w:r>
              <w:rPr>
                <w:color w:val="000000" w:themeColor="text1"/>
              </w:rPr>
              <w:t xml:space="preserve">102,4</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color w:val="000000" w:themeColor="text1"/>
              </w:rPr>
            </w:pPr>
            <w:r>
              <w:rPr>
                <w:color w:val="000000" w:themeColor="text1"/>
              </w:rPr>
              <w:t xml:space="preserve">101,6</w:t>
            </w:r>
          </w:p>
        </w:tc>
        <w:tc>
          <w:tcPr>
            <w:tcW w:w="1361" w:type="dxa"/>
            <w:tcBorders>
              <w:top w:val="single" w:color="auto" w:sz="4" w:space="0"/>
              <w:left w:val="single" w:color="auto" w:sz="4" w:space="0"/>
              <w:bottom w:val="single" w:color="auto" w:sz="4" w:space="0"/>
              <w:right w:val="single" w:color="auto" w:sz="4" w:space="0"/>
            </w:tcBorders>
          </w:tcPr>
          <w:p>
            <w:pPr>
              <w:jc w:val="center"/>
              <w:rPr>
                <w:color w:val="000000" w:themeColor="text1"/>
              </w:rPr>
            </w:pPr>
            <w:r>
              <w:rPr>
                <w:color w:val="000000" w:themeColor="text1"/>
              </w:rPr>
              <w:t xml:space="preserve">102,5</w:t>
            </w:r>
          </w:p>
        </w:tc>
      </w:tr>
      <w:tr>
        <w:tc>
          <w:tcPr>
            <w:tcW w:w="16020" w:type="dxa"/>
            <w:gridSpan w:val="14"/>
            <w:tcBorders>
              <w:top w:val="single" w:color="auto" w:sz="4" w:space="0"/>
              <w:left w:val="single" w:color="auto" w:sz="4" w:space="0"/>
              <w:bottom w:val="single" w:color="auto" w:sz="4" w:space="0"/>
              <w:right w:val="single" w:color="auto" w:sz="4" w:space="0"/>
            </w:tcBorders>
          </w:tcPr>
          <w:p>
            <w:pPr>
              <w:ind w:left="-108" w:right="-108"/>
              <w:jc w:val="center"/>
              <w:rPr>
                <w:sz w:val="19"/>
                <w:szCs w:val="19"/>
              </w:rPr>
            </w:pPr>
            <w:r>
              <w:rPr>
                <w:color w:val="000000"/>
                <w:spacing w:val="-4"/>
              </w:rPr>
              <w:t xml:space="preserve">Промышленное производство</w:t>
            </w:r>
          </w:p>
        </w:tc>
      </w:tr>
      <w:tr>
        <w:tc>
          <w:tcPr>
            <w:tcW w:w="539" w:type="dxa"/>
            <w:tcBorders>
              <w:top w:val="single" w:color="auto" w:sz="4" w:space="0"/>
              <w:left w:val="single" w:color="auto" w:sz="4" w:space="0"/>
              <w:bottom w:val="single" w:color="auto" w:sz="4" w:space="0"/>
              <w:right w:val="single" w:color="auto" w:sz="4" w:space="0"/>
            </w:tcBorders>
          </w:tcPr>
          <w:p>
            <w:pPr>
              <w:spacing w:line="230" w:lineRule="auto"/>
              <w:jc w:val="both"/>
              <w:rPr>
                <w:spacing w:val="-4"/>
              </w:rPr>
            </w:pPr>
            <w:r>
              <w:rPr>
                <w:spacing w:val="-4"/>
              </w:rPr>
              <w:t xml:space="preserve">3.</w:t>
            </w:r>
          </w:p>
        </w:tc>
        <w:tc>
          <w:tcPr>
            <w:tcW w:w="1589" w:type="dxa"/>
            <w:tcBorders>
              <w:top w:val="single" w:color="auto" w:sz="4" w:space="0"/>
              <w:left w:val="single" w:color="auto" w:sz="4" w:space="0"/>
              <w:bottom w:val="single" w:color="auto" w:sz="4" w:space="0"/>
              <w:right w:val="single" w:color="auto" w:sz="4" w:space="0"/>
            </w:tcBorders>
          </w:tcPr>
          <w:p>
            <w:pPr>
              <w:spacing w:line="230" w:lineRule="auto"/>
              <w:jc w:val="both"/>
              <w:rPr>
                <w:spacing w:val="-4"/>
              </w:rPr>
            </w:pPr>
            <w:r>
              <w:rPr>
                <w:spacing w:val="-4"/>
              </w:rPr>
              <w:t xml:space="preserve">Индекс промышленного производства </w:t>
            </w:r>
          </w:p>
        </w:tc>
        <w:tc>
          <w:tcPr>
            <w:tcW w:w="1418" w:type="dxa"/>
            <w:tcBorders>
              <w:top w:val="single" w:color="auto" w:sz="4" w:space="0"/>
              <w:left w:val="single" w:color="auto" w:sz="4" w:space="0"/>
              <w:bottom w:val="single" w:color="auto" w:sz="4" w:space="0"/>
              <w:right w:val="single" w:color="auto" w:sz="4" w:space="0"/>
            </w:tcBorders>
          </w:tcPr>
          <w:p>
            <w:pPr>
              <w:jc w:val="center"/>
            </w:pPr>
            <w:r>
              <w:t xml:space="preserve">процентов к уровню </w:t>
            </w:r>
            <w:r>
              <w:t xml:space="preserve">предыду-щего</w:t>
            </w:r>
            <w:r>
              <w:t xml:space="preserve"> года в </w:t>
            </w:r>
            <w:r>
              <w:t xml:space="preserve">сопостави-мых</w:t>
            </w:r>
            <w:r>
              <w:t xml:space="preserve"> ценах</w:t>
            </w:r>
          </w:p>
        </w:tc>
        <w:tc>
          <w:tcPr>
            <w:tcW w:w="1417" w:type="dxa"/>
            <w:tcBorders>
              <w:top w:val="single" w:color="auto" w:sz="4" w:space="0"/>
              <w:left w:val="single" w:color="auto" w:sz="4" w:space="0"/>
              <w:bottom w:val="single" w:color="auto" w:sz="4" w:space="0"/>
              <w:right w:val="single" w:color="auto" w:sz="4" w:space="0"/>
            </w:tcBorders>
          </w:tcPr>
          <w:p>
            <w:pPr>
              <w:jc w:val="center"/>
            </w:pPr>
            <w:r>
              <w:t xml:space="preserve">97,1</w:t>
            </w:r>
          </w:p>
        </w:tc>
        <w:tc>
          <w:tcPr>
            <w:tcW w:w="1418" w:type="dxa"/>
            <w:tcBorders>
              <w:top w:val="single" w:color="auto" w:sz="4" w:space="0"/>
              <w:left w:val="single" w:color="auto" w:sz="4" w:space="0"/>
              <w:bottom w:val="single" w:color="auto" w:sz="4" w:space="0"/>
              <w:right w:val="single" w:color="auto" w:sz="4" w:space="0"/>
            </w:tcBorders>
          </w:tcPr>
          <w:p>
            <w:pPr>
              <w:jc w:val="center"/>
            </w:pPr>
            <w:r>
              <w:t xml:space="preserve">99,8</w:t>
            </w:r>
          </w:p>
        </w:tc>
        <w:tc>
          <w:tcPr>
            <w:tcW w:w="1701" w:type="dxa"/>
            <w:tcBorders>
              <w:top w:val="single" w:color="auto" w:sz="4" w:space="0"/>
              <w:left w:val="single" w:color="auto" w:sz="4" w:space="0"/>
              <w:bottom w:val="single" w:color="auto" w:sz="4" w:space="0"/>
              <w:right w:val="single" w:color="auto" w:sz="4" w:space="0"/>
            </w:tcBorders>
          </w:tcPr>
          <w:p>
            <w:pPr>
              <w:jc w:val="center"/>
            </w:pPr>
            <w:r>
              <w:t xml:space="preserve">101,5</w:t>
            </w:r>
          </w:p>
        </w:tc>
        <w:tc>
          <w:tcPr>
            <w:tcW w:w="1473" w:type="dxa"/>
            <w:gridSpan w:val="2"/>
            <w:tcBorders>
              <w:top w:val="single" w:color="auto" w:sz="4" w:space="0"/>
              <w:left w:val="single" w:color="auto" w:sz="4" w:space="0"/>
              <w:bottom w:val="single" w:color="auto" w:sz="4" w:space="0"/>
              <w:right w:val="single" w:color="auto" w:sz="4" w:space="0"/>
            </w:tcBorders>
          </w:tcPr>
          <w:p>
            <w:pPr>
              <w:jc w:val="center"/>
            </w:pPr>
            <w:r>
              <w:t xml:space="preserve">102,2</w:t>
            </w:r>
          </w:p>
        </w:tc>
        <w:tc>
          <w:tcPr>
            <w:tcW w:w="1702" w:type="dxa"/>
            <w:gridSpan w:val="2"/>
            <w:tcBorders>
              <w:top w:val="single" w:color="auto" w:sz="4" w:space="0"/>
              <w:left w:val="single" w:color="auto" w:sz="4" w:space="0"/>
              <w:bottom w:val="single" w:color="auto" w:sz="4" w:space="0"/>
              <w:right w:val="single" w:color="auto" w:sz="4" w:space="0"/>
            </w:tcBorders>
          </w:tcPr>
          <w:p>
            <w:pPr>
              <w:jc w:val="center"/>
            </w:pPr>
            <w:r>
              <w:t xml:space="preserve">102,0</w:t>
            </w:r>
          </w:p>
        </w:tc>
        <w:tc>
          <w:tcPr>
            <w:tcW w:w="1644" w:type="dxa"/>
            <w:tcBorders>
              <w:top w:val="single" w:color="auto" w:sz="4" w:space="0"/>
              <w:left w:val="single" w:color="auto" w:sz="4" w:space="0"/>
              <w:bottom w:val="single" w:color="auto" w:sz="4" w:space="0"/>
              <w:right w:val="single" w:color="auto" w:sz="4" w:space="0"/>
            </w:tcBorders>
          </w:tcPr>
          <w:p>
            <w:pPr>
              <w:jc w:val="center"/>
            </w:pPr>
            <w:r>
              <w:t xml:space="preserve">102,6</w:t>
            </w:r>
          </w:p>
        </w:tc>
        <w:tc>
          <w:tcPr>
            <w:tcW w:w="1758" w:type="dxa"/>
            <w:gridSpan w:val="2"/>
            <w:tcBorders>
              <w:top w:val="single" w:color="auto" w:sz="4" w:space="0"/>
              <w:left w:val="single" w:color="auto" w:sz="4" w:space="0"/>
              <w:bottom w:val="single" w:color="auto" w:sz="4" w:space="0"/>
              <w:right w:val="single" w:color="auto" w:sz="4" w:space="0"/>
            </w:tcBorders>
          </w:tcPr>
          <w:p>
            <w:pPr>
              <w:jc w:val="center"/>
            </w:pPr>
            <w:r>
              <w:t xml:space="preserve">102,1</w:t>
            </w:r>
          </w:p>
        </w:tc>
        <w:tc>
          <w:tcPr>
            <w:tcW w:w="1361" w:type="dxa"/>
            <w:tcBorders>
              <w:top w:val="single" w:color="auto" w:sz="4" w:space="0"/>
              <w:left w:val="single" w:color="auto" w:sz="4" w:space="0"/>
              <w:bottom w:val="single" w:color="auto" w:sz="4" w:space="0"/>
              <w:right w:val="single" w:color="auto" w:sz="4" w:space="0"/>
            </w:tcBorders>
          </w:tcPr>
          <w:p>
            <w:pPr>
              <w:jc w:val="center"/>
            </w:pPr>
            <w:r>
              <w:t xml:space="preserve">102,7</w:t>
            </w:r>
          </w:p>
        </w:tc>
      </w:tr>
      <w:tr>
        <w:tc>
          <w:tcPr>
            <w:tcW w:w="539" w:type="dxa"/>
            <w:tcBorders>
              <w:top w:val="single" w:color="auto" w:sz="4" w:space="0"/>
              <w:left w:val="single" w:color="auto" w:sz="4" w:space="0"/>
              <w:bottom w:val="single" w:color="auto" w:sz="4" w:space="0"/>
              <w:right w:val="single" w:color="auto" w:sz="4" w:space="0"/>
            </w:tcBorders>
          </w:tcPr>
          <w:p>
            <w:pPr>
              <w:pStyle w:val="5"/>
              <w:spacing w:before="0" w:after="0" w:line="235" w:lineRule="auto"/>
              <w:rPr>
                <w:rFonts w:ascii="Times New Roman" w:hAnsi="Times New Roman"/>
                <w:b w:val="0"/>
                <w:i w:val="0"/>
                <w:spacing w:val="-4"/>
                <w:sz w:val="24"/>
                <w:szCs w:val="24"/>
              </w:rPr>
            </w:pPr>
            <w:r>
              <w:rPr>
                <w:rFonts w:ascii="Times New Roman" w:hAnsi="Times New Roman"/>
                <w:b w:val="0"/>
                <w:i w:val="0"/>
                <w:spacing w:val="-4"/>
                <w:sz w:val="24"/>
                <w:szCs w:val="24"/>
              </w:rPr>
              <w:t xml:space="preserve">4.</w:t>
            </w:r>
          </w:p>
        </w:tc>
        <w:tc>
          <w:tcPr>
            <w:tcW w:w="1589" w:type="dxa"/>
            <w:tcBorders>
              <w:top w:val="single" w:color="auto" w:sz="4" w:space="0"/>
              <w:left w:val="single" w:color="auto" w:sz="4" w:space="0"/>
              <w:bottom w:val="single" w:color="auto" w:sz="4" w:space="0"/>
              <w:right w:val="single" w:color="auto" w:sz="4" w:space="0"/>
            </w:tcBorders>
          </w:tcPr>
          <w:p>
            <w:pPr>
              <w:pStyle w:val="5"/>
              <w:spacing w:before="0" w:after="0" w:line="235" w:lineRule="auto"/>
              <w:rPr>
                <w:rFonts w:ascii="Times New Roman" w:hAnsi="Times New Roman"/>
                <w:b w:val="0"/>
                <w:i w:val="0"/>
                <w:spacing w:val="-4"/>
                <w:sz w:val="24"/>
                <w:szCs w:val="24"/>
              </w:rPr>
            </w:pPr>
            <w:r>
              <w:rPr>
                <w:rFonts w:ascii="Times New Roman" w:hAnsi="Times New Roman"/>
                <w:b w:val="0"/>
                <w:i w:val="0"/>
                <w:spacing w:val="-4"/>
                <w:sz w:val="24"/>
                <w:szCs w:val="24"/>
              </w:rPr>
              <w:t xml:space="preserve">Индекс производства  </w:t>
            </w:r>
            <w:r>
              <w:rPr>
                <w:rFonts w:ascii="Times New Roman" w:hAnsi="Times New Roman"/>
                <w:b w:val="0"/>
                <w:bCs w:val="0"/>
                <w:i w:val="0"/>
                <w:iCs w:val="0"/>
                <w:spacing w:val="-4"/>
                <w:sz w:val="24"/>
                <w:szCs w:val="24"/>
              </w:rPr>
              <w:t xml:space="preserve">добыча полезных ископаемых</w:t>
            </w:r>
          </w:p>
        </w:tc>
        <w:tc>
          <w:tcPr>
            <w:tcW w:w="1418" w:type="dxa"/>
            <w:tcBorders>
              <w:top w:val="single" w:color="auto" w:sz="4" w:space="0"/>
              <w:left w:val="single" w:color="auto" w:sz="4" w:space="0"/>
              <w:bottom w:val="single" w:color="auto" w:sz="4" w:space="0"/>
              <w:right w:val="single" w:color="auto" w:sz="4" w:space="0"/>
            </w:tcBorders>
          </w:tcPr>
          <w:p>
            <w:pPr>
              <w:jc w:val="center"/>
            </w:pPr>
            <w:r>
              <w:t xml:space="preserve">процентов к уровню </w:t>
            </w:r>
            <w:r>
              <w:t xml:space="preserve">предыду-щего</w:t>
            </w:r>
            <w:r>
              <w:t xml:space="preserve"> года в </w:t>
            </w:r>
            <w:r>
              <w:t xml:space="preserve">сопостави-мых</w:t>
            </w:r>
            <w:r>
              <w:t xml:space="preserve"> ценах</w:t>
            </w:r>
          </w:p>
        </w:tc>
        <w:tc>
          <w:tcPr>
            <w:tcW w:w="1417" w:type="dxa"/>
            <w:tcBorders>
              <w:top w:val="single" w:color="auto" w:sz="4" w:space="0"/>
              <w:left w:val="single" w:color="auto" w:sz="4" w:space="0"/>
              <w:bottom w:val="single" w:color="auto" w:sz="4" w:space="0"/>
              <w:right w:val="single" w:color="auto" w:sz="4" w:space="0"/>
            </w:tcBorders>
          </w:tcPr>
          <w:p>
            <w:pPr>
              <w:jc w:val="center"/>
            </w:pPr>
            <w:r>
              <w:t xml:space="preserve">92,9</w:t>
            </w:r>
          </w:p>
        </w:tc>
        <w:tc>
          <w:tcPr>
            <w:tcW w:w="1418" w:type="dxa"/>
            <w:tcBorders>
              <w:top w:val="single" w:color="auto" w:sz="4" w:space="0"/>
              <w:left w:val="single" w:color="auto" w:sz="4" w:space="0"/>
              <w:bottom w:val="single" w:color="auto" w:sz="4" w:space="0"/>
              <w:right w:val="single" w:color="auto" w:sz="4" w:space="0"/>
            </w:tcBorders>
          </w:tcPr>
          <w:p>
            <w:pPr>
              <w:jc w:val="center"/>
            </w:pPr>
            <w:r>
              <w:t xml:space="preserve">99,7</w:t>
            </w:r>
          </w:p>
        </w:tc>
        <w:tc>
          <w:tcPr>
            <w:tcW w:w="1701" w:type="dxa"/>
            <w:tcBorders>
              <w:top w:val="single" w:color="auto" w:sz="4" w:space="0"/>
              <w:left w:val="single" w:color="auto" w:sz="4" w:space="0"/>
              <w:bottom w:val="single" w:color="auto" w:sz="4" w:space="0"/>
              <w:right w:val="single" w:color="auto" w:sz="4" w:space="0"/>
            </w:tcBorders>
          </w:tcPr>
          <w:p>
            <w:pPr>
              <w:jc w:val="center"/>
            </w:pPr>
            <w:r>
              <w:t xml:space="preserve">99,8</w:t>
            </w:r>
          </w:p>
        </w:tc>
        <w:tc>
          <w:tcPr>
            <w:tcW w:w="1473" w:type="dxa"/>
            <w:gridSpan w:val="2"/>
            <w:tcBorders>
              <w:top w:val="single" w:color="auto" w:sz="4" w:space="0"/>
              <w:left w:val="single" w:color="auto" w:sz="4" w:space="0"/>
              <w:bottom w:val="single" w:color="auto" w:sz="4" w:space="0"/>
              <w:right w:val="single" w:color="auto" w:sz="4" w:space="0"/>
            </w:tcBorders>
          </w:tcPr>
          <w:p>
            <w:pPr>
              <w:jc w:val="center"/>
            </w:pPr>
            <w:r>
              <w:t xml:space="preserve">100,3</w:t>
            </w:r>
          </w:p>
        </w:tc>
        <w:tc>
          <w:tcPr>
            <w:tcW w:w="1702" w:type="dxa"/>
            <w:gridSpan w:val="2"/>
            <w:tcBorders>
              <w:top w:val="single" w:color="auto" w:sz="4" w:space="0"/>
              <w:left w:val="single" w:color="auto" w:sz="4" w:space="0"/>
              <w:bottom w:val="single" w:color="auto" w:sz="4" w:space="0"/>
              <w:right w:val="single" w:color="auto" w:sz="4" w:space="0"/>
            </w:tcBorders>
          </w:tcPr>
          <w:p>
            <w:pPr>
              <w:jc w:val="center"/>
            </w:pPr>
            <w:r>
              <w:t xml:space="preserve">100,3</w:t>
            </w:r>
          </w:p>
        </w:tc>
        <w:tc>
          <w:tcPr>
            <w:tcW w:w="1644" w:type="dxa"/>
            <w:tcBorders>
              <w:top w:val="single" w:color="auto" w:sz="4" w:space="0"/>
              <w:left w:val="single" w:color="auto" w:sz="4" w:space="0"/>
              <w:bottom w:val="single" w:color="auto" w:sz="4" w:space="0"/>
              <w:right w:val="single" w:color="auto" w:sz="4" w:space="0"/>
            </w:tcBorders>
          </w:tcPr>
          <w:p>
            <w:pPr>
              <w:jc w:val="center"/>
            </w:pPr>
            <w:r>
              <w:t xml:space="preserve">100,8</w:t>
            </w:r>
          </w:p>
        </w:tc>
        <w:tc>
          <w:tcPr>
            <w:tcW w:w="1758" w:type="dxa"/>
            <w:gridSpan w:val="2"/>
            <w:tcBorders>
              <w:top w:val="single" w:color="auto" w:sz="4" w:space="0"/>
              <w:left w:val="single" w:color="auto" w:sz="4" w:space="0"/>
              <w:bottom w:val="single" w:color="auto" w:sz="4" w:space="0"/>
              <w:right w:val="single" w:color="auto" w:sz="4" w:space="0"/>
            </w:tcBorders>
          </w:tcPr>
          <w:p>
            <w:pPr>
              <w:jc w:val="center"/>
            </w:pPr>
            <w:r>
              <w:t xml:space="preserve">100,3</w:t>
            </w:r>
          </w:p>
        </w:tc>
        <w:tc>
          <w:tcPr>
            <w:tcW w:w="1361" w:type="dxa"/>
            <w:tcBorders>
              <w:top w:val="single" w:color="auto" w:sz="4" w:space="0"/>
              <w:left w:val="single" w:color="auto" w:sz="4" w:space="0"/>
              <w:bottom w:val="single" w:color="auto" w:sz="4" w:space="0"/>
              <w:right w:val="single" w:color="auto" w:sz="4" w:space="0"/>
            </w:tcBorders>
          </w:tcPr>
          <w:p>
            <w:pPr>
              <w:jc w:val="center"/>
            </w:pPr>
            <w:r>
              <w:t xml:space="preserve">100,8</w:t>
            </w:r>
          </w:p>
        </w:tc>
      </w:tr>
      <w:tr>
        <w:tc>
          <w:tcPr>
            <w:tcW w:w="539" w:type="dxa"/>
            <w:tcBorders>
              <w:top w:val="single" w:color="auto" w:sz="4" w:space="0"/>
              <w:left w:val="single" w:color="auto" w:sz="4" w:space="0"/>
              <w:bottom w:val="single" w:color="auto" w:sz="4" w:space="0"/>
              <w:right w:val="single" w:color="auto" w:sz="4" w:space="0"/>
            </w:tcBorders>
          </w:tcPr>
          <w:p>
            <w:pPr>
              <w:pStyle w:val="5"/>
              <w:spacing w:before="0" w:after="0" w:line="235" w:lineRule="auto"/>
              <w:rPr>
                <w:rFonts w:ascii="Times New Roman" w:hAnsi="Times New Roman"/>
                <w:b w:val="0"/>
                <w:i w:val="0"/>
                <w:spacing w:val="-4"/>
                <w:sz w:val="24"/>
                <w:szCs w:val="24"/>
              </w:rPr>
            </w:pPr>
            <w:r>
              <w:rPr>
                <w:rFonts w:ascii="Times New Roman" w:hAnsi="Times New Roman"/>
                <w:b w:val="0"/>
                <w:i w:val="0"/>
                <w:spacing w:val="-4"/>
                <w:sz w:val="24"/>
                <w:szCs w:val="24"/>
              </w:rPr>
              <w:t xml:space="preserve">5.</w:t>
            </w:r>
          </w:p>
        </w:tc>
        <w:tc>
          <w:tcPr>
            <w:tcW w:w="1589" w:type="dxa"/>
            <w:tcBorders>
              <w:top w:val="single" w:color="auto" w:sz="4" w:space="0"/>
              <w:left w:val="single" w:color="auto" w:sz="4" w:space="0"/>
              <w:bottom w:val="single" w:color="auto" w:sz="4" w:space="0"/>
              <w:right w:val="single" w:color="auto" w:sz="4" w:space="0"/>
            </w:tcBorders>
          </w:tcPr>
          <w:p>
            <w:pPr>
              <w:pStyle w:val="5"/>
              <w:spacing w:before="0" w:after="0" w:line="235" w:lineRule="auto"/>
              <w:rPr>
                <w:rFonts w:ascii="Times New Roman" w:hAnsi="Times New Roman"/>
                <w:b w:val="0"/>
                <w:i w:val="0"/>
                <w:spacing w:val="-4"/>
                <w:sz w:val="24"/>
                <w:szCs w:val="24"/>
              </w:rPr>
            </w:pPr>
            <w:r>
              <w:rPr>
                <w:rFonts w:ascii="Times New Roman" w:hAnsi="Times New Roman"/>
                <w:b w:val="0"/>
                <w:i w:val="0"/>
                <w:spacing w:val="-4"/>
                <w:sz w:val="24"/>
                <w:szCs w:val="24"/>
              </w:rPr>
              <w:t xml:space="preserve">Индекс производства  обрабатывающие производства</w:t>
            </w:r>
          </w:p>
        </w:tc>
        <w:tc>
          <w:tcPr>
            <w:tcW w:w="1418" w:type="dxa"/>
            <w:tcBorders>
              <w:top w:val="single" w:color="auto" w:sz="4" w:space="0"/>
              <w:left w:val="single" w:color="auto" w:sz="4" w:space="0"/>
              <w:bottom w:val="single" w:color="auto" w:sz="4" w:space="0"/>
              <w:right w:val="single" w:color="auto" w:sz="4" w:space="0"/>
            </w:tcBorders>
          </w:tcPr>
          <w:p>
            <w:pPr>
              <w:jc w:val="center"/>
            </w:pPr>
            <w:r>
              <w:t xml:space="preserve">процентов к уровню </w:t>
            </w:r>
            <w:r>
              <w:t xml:space="preserve">предыду-щего</w:t>
            </w:r>
            <w:r>
              <w:t xml:space="preserve"> года в </w:t>
            </w:r>
            <w:r>
              <w:t xml:space="preserve">сопостави-мых</w:t>
            </w:r>
            <w:r>
              <w:t xml:space="preserve"> ценах</w:t>
            </w:r>
          </w:p>
        </w:tc>
        <w:tc>
          <w:tcPr>
            <w:tcW w:w="1417" w:type="dxa"/>
            <w:tcBorders>
              <w:top w:val="single" w:color="auto" w:sz="4" w:space="0"/>
              <w:left w:val="single" w:color="auto" w:sz="4" w:space="0"/>
              <w:bottom w:val="single" w:color="auto" w:sz="4" w:space="0"/>
              <w:right w:val="single" w:color="auto" w:sz="4" w:space="0"/>
            </w:tcBorders>
          </w:tcPr>
          <w:p>
            <w:pPr>
              <w:jc w:val="center"/>
            </w:pPr>
            <w:r>
              <w:t xml:space="preserve">108,7</w:t>
            </w:r>
          </w:p>
        </w:tc>
        <w:tc>
          <w:tcPr>
            <w:tcW w:w="1418" w:type="dxa"/>
            <w:tcBorders>
              <w:top w:val="single" w:color="auto" w:sz="4" w:space="0"/>
              <w:left w:val="single" w:color="auto" w:sz="4" w:space="0"/>
              <w:bottom w:val="single" w:color="auto" w:sz="4" w:space="0"/>
              <w:right w:val="single" w:color="auto" w:sz="4" w:space="0"/>
            </w:tcBorders>
          </w:tcPr>
          <w:p>
            <w:pPr>
              <w:jc w:val="center"/>
            </w:pPr>
            <w:r>
              <w:t xml:space="preserve">101,5</w:t>
            </w:r>
          </w:p>
        </w:tc>
        <w:tc>
          <w:tcPr>
            <w:tcW w:w="1701" w:type="dxa"/>
            <w:tcBorders>
              <w:top w:val="single" w:color="auto" w:sz="4" w:space="0"/>
              <w:left w:val="single" w:color="auto" w:sz="4" w:space="0"/>
              <w:bottom w:val="single" w:color="auto" w:sz="4" w:space="0"/>
              <w:right w:val="single" w:color="auto" w:sz="4" w:space="0"/>
            </w:tcBorders>
          </w:tcPr>
          <w:p>
            <w:pPr>
              <w:jc w:val="center"/>
            </w:pPr>
            <w:r>
              <w:t xml:space="preserve">103,4</w:t>
            </w:r>
          </w:p>
        </w:tc>
        <w:tc>
          <w:tcPr>
            <w:tcW w:w="1473" w:type="dxa"/>
            <w:gridSpan w:val="2"/>
            <w:tcBorders>
              <w:top w:val="single" w:color="auto" w:sz="4" w:space="0"/>
              <w:left w:val="single" w:color="auto" w:sz="4" w:space="0"/>
              <w:bottom w:val="single" w:color="auto" w:sz="4" w:space="0"/>
              <w:right w:val="single" w:color="auto" w:sz="4" w:space="0"/>
            </w:tcBorders>
          </w:tcPr>
          <w:p>
            <w:pPr>
              <w:jc w:val="center"/>
            </w:pPr>
            <w:r>
              <w:t xml:space="preserve">104,3</w:t>
            </w:r>
          </w:p>
        </w:tc>
        <w:tc>
          <w:tcPr>
            <w:tcW w:w="1702" w:type="dxa"/>
            <w:gridSpan w:val="2"/>
            <w:tcBorders>
              <w:top w:val="single" w:color="auto" w:sz="4" w:space="0"/>
              <w:left w:val="single" w:color="auto" w:sz="4" w:space="0"/>
              <w:bottom w:val="single" w:color="auto" w:sz="4" w:space="0"/>
              <w:right w:val="single" w:color="auto" w:sz="4" w:space="0"/>
            </w:tcBorders>
          </w:tcPr>
          <w:p>
            <w:pPr>
              <w:jc w:val="center"/>
            </w:pPr>
            <w:r>
              <w:t xml:space="preserve">103,8</w:t>
            </w:r>
          </w:p>
        </w:tc>
        <w:tc>
          <w:tcPr>
            <w:tcW w:w="1644" w:type="dxa"/>
            <w:tcBorders>
              <w:top w:val="single" w:color="auto" w:sz="4" w:space="0"/>
              <w:left w:val="single" w:color="auto" w:sz="4" w:space="0"/>
              <w:bottom w:val="single" w:color="auto" w:sz="4" w:space="0"/>
              <w:right w:val="single" w:color="auto" w:sz="4" w:space="0"/>
            </w:tcBorders>
          </w:tcPr>
          <w:p>
            <w:pPr>
              <w:jc w:val="center"/>
            </w:pPr>
            <w:r>
              <w:t xml:space="preserve">104,6</w:t>
            </w:r>
          </w:p>
        </w:tc>
        <w:tc>
          <w:tcPr>
            <w:tcW w:w="1758" w:type="dxa"/>
            <w:gridSpan w:val="2"/>
            <w:tcBorders>
              <w:top w:val="single" w:color="auto" w:sz="4" w:space="0"/>
              <w:left w:val="single" w:color="auto" w:sz="4" w:space="0"/>
              <w:bottom w:val="single" w:color="auto" w:sz="4" w:space="0"/>
              <w:right w:val="single" w:color="auto" w:sz="4" w:space="0"/>
            </w:tcBorders>
          </w:tcPr>
          <w:p>
            <w:pPr>
              <w:jc w:val="center"/>
            </w:pPr>
            <w:r>
              <w:t xml:space="preserve">103,9</w:t>
            </w:r>
          </w:p>
        </w:tc>
        <w:tc>
          <w:tcPr>
            <w:tcW w:w="1361" w:type="dxa"/>
            <w:tcBorders>
              <w:top w:val="single" w:color="auto" w:sz="4" w:space="0"/>
              <w:left w:val="single" w:color="auto" w:sz="4" w:space="0"/>
              <w:bottom w:val="single" w:color="auto" w:sz="4" w:space="0"/>
              <w:right w:val="single" w:color="auto" w:sz="4" w:space="0"/>
            </w:tcBorders>
          </w:tcPr>
          <w:p>
            <w:pPr>
              <w:jc w:val="center"/>
            </w:pPr>
            <w:r>
              <w:t xml:space="preserve">104,7</w:t>
            </w:r>
          </w:p>
        </w:tc>
      </w:tr>
      <w:tr>
        <w:trPr>
          <w:trHeight w:val="1720"/>
        </w:trPr>
        <w:tc>
          <w:tcPr>
            <w:tcW w:w="539" w:type="dxa"/>
            <w:tcBorders>
              <w:top w:val="single" w:color="auto" w:sz="4" w:space="0"/>
              <w:left w:val="single" w:color="auto" w:sz="4" w:space="0"/>
              <w:bottom w:val="single" w:color="auto" w:sz="4" w:space="0"/>
              <w:right w:val="single" w:color="auto" w:sz="4" w:space="0"/>
            </w:tcBorders>
          </w:tcPr>
          <w:p>
            <w:pPr>
              <w:spacing w:line="235" w:lineRule="auto"/>
              <w:rPr>
                <w:spacing w:val="-4"/>
              </w:rPr>
            </w:pPr>
            <w:r>
              <w:rPr>
                <w:spacing w:val="-4"/>
              </w:rPr>
              <w:t xml:space="preserve">6.</w:t>
            </w:r>
          </w:p>
        </w:tc>
        <w:tc>
          <w:tcPr>
            <w:tcW w:w="1589" w:type="dxa"/>
            <w:tcBorders>
              <w:top w:val="single" w:color="auto" w:sz="4" w:space="0"/>
              <w:left w:val="single" w:color="auto" w:sz="4" w:space="0"/>
              <w:bottom w:val="single" w:color="auto" w:sz="4" w:space="0"/>
              <w:right w:val="single" w:color="auto" w:sz="4" w:space="0"/>
            </w:tcBorders>
          </w:tcPr>
          <w:p>
            <w:pPr>
              <w:spacing w:line="235" w:lineRule="auto"/>
              <w:ind w:right="-57"/>
              <w:rPr>
                <w:spacing w:val="-4"/>
              </w:rPr>
            </w:pPr>
            <w:r>
              <w:rPr>
                <w:spacing w:val="-4"/>
              </w:rPr>
              <w:t xml:space="preserve">Индекс </w:t>
            </w:r>
            <w:r>
              <w:rPr>
                <w:spacing w:val="-4"/>
              </w:rPr>
              <w:t xml:space="preserve">производст</w:t>
            </w:r>
            <w:r>
              <w:rPr>
                <w:spacing w:val="-4"/>
              </w:rPr>
              <w:t xml:space="preserve">-</w:t>
            </w:r>
          </w:p>
          <w:p>
            <w:pPr>
              <w:spacing w:line="235" w:lineRule="auto"/>
              <w:ind w:right="-57"/>
              <w:rPr>
                <w:spacing w:val="-4"/>
              </w:rPr>
            </w:pPr>
            <w:r>
              <w:rPr>
                <w:spacing w:val="-4"/>
              </w:rPr>
              <w:t xml:space="preserve">ва</w:t>
            </w:r>
            <w:r>
              <w:rPr>
                <w:spacing w:val="-4"/>
              </w:rPr>
              <w:t xml:space="preserve">  </w:t>
            </w:r>
            <w:r>
              <w:rPr>
                <w:spacing w:val="-4"/>
              </w:rPr>
              <w:t xml:space="preserve">обеспече-ние</w:t>
            </w:r>
            <w:r>
              <w:rPr>
                <w:spacing w:val="-4"/>
              </w:rPr>
              <w:t xml:space="preserve"> </w:t>
            </w:r>
            <w:r>
              <w:rPr>
                <w:spacing w:val="-4"/>
              </w:rPr>
              <w:t xml:space="preserve">электри</w:t>
            </w:r>
            <w:r>
              <w:rPr>
                <w:spacing w:val="-4"/>
              </w:rPr>
              <w:t xml:space="preserve">-ческой энергией, газом и паром; кондиционирование воздуха</w:t>
            </w:r>
          </w:p>
        </w:tc>
        <w:tc>
          <w:tcPr>
            <w:tcW w:w="1418" w:type="dxa"/>
            <w:tcBorders>
              <w:top w:val="single" w:color="auto" w:sz="4" w:space="0"/>
              <w:left w:val="single" w:color="auto" w:sz="4" w:space="0"/>
              <w:bottom w:val="single" w:color="auto" w:sz="4" w:space="0"/>
              <w:right w:val="single" w:color="auto" w:sz="4" w:space="0"/>
            </w:tcBorders>
          </w:tcPr>
          <w:p>
            <w:pPr>
              <w:jc w:val="center"/>
            </w:pPr>
            <w:r>
              <w:t xml:space="preserve">процентов к уровню </w:t>
            </w:r>
            <w:r>
              <w:t xml:space="preserve">предыду-щего</w:t>
            </w:r>
            <w:r>
              <w:t xml:space="preserve"> года в </w:t>
            </w:r>
            <w:r>
              <w:t xml:space="preserve">сопостави-мых</w:t>
            </w:r>
            <w:r>
              <w:t xml:space="preserve"> ценах</w:t>
            </w:r>
          </w:p>
        </w:tc>
        <w:tc>
          <w:tcPr>
            <w:tcW w:w="1417" w:type="dxa"/>
            <w:tcBorders>
              <w:top w:val="single" w:color="auto" w:sz="4" w:space="0"/>
              <w:left w:val="single" w:color="auto" w:sz="4" w:space="0"/>
              <w:bottom w:val="single" w:color="auto" w:sz="4" w:space="0"/>
              <w:right w:val="single" w:color="auto" w:sz="4" w:space="0"/>
            </w:tcBorders>
          </w:tcPr>
          <w:p>
            <w:pPr>
              <w:jc w:val="center"/>
            </w:pPr>
            <w:r>
              <w:t xml:space="preserve">103,5</w:t>
            </w:r>
          </w:p>
        </w:tc>
        <w:tc>
          <w:tcPr>
            <w:tcW w:w="1418" w:type="dxa"/>
            <w:tcBorders>
              <w:top w:val="single" w:color="auto" w:sz="4" w:space="0"/>
              <w:left w:val="single" w:color="auto" w:sz="4" w:space="0"/>
              <w:bottom w:val="single" w:color="auto" w:sz="4" w:space="0"/>
              <w:right w:val="single" w:color="auto" w:sz="4" w:space="0"/>
            </w:tcBorders>
          </w:tcPr>
          <w:p>
            <w:pPr>
              <w:jc w:val="center"/>
            </w:pPr>
            <w:r>
              <w:t xml:space="preserve">100,0</w:t>
            </w:r>
          </w:p>
        </w:tc>
        <w:tc>
          <w:tcPr>
            <w:tcW w:w="1701" w:type="dxa"/>
            <w:tcBorders>
              <w:top w:val="single" w:color="auto" w:sz="4" w:space="0"/>
              <w:left w:val="single" w:color="auto" w:sz="4" w:space="0"/>
              <w:bottom w:val="single" w:color="auto" w:sz="4" w:space="0"/>
              <w:right w:val="single" w:color="auto" w:sz="4" w:space="0"/>
            </w:tcBorders>
          </w:tcPr>
          <w:p>
            <w:pPr>
              <w:jc w:val="center"/>
            </w:pPr>
            <w:r>
              <w:t xml:space="preserve">106,8</w:t>
            </w:r>
          </w:p>
        </w:tc>
        <w:tc>
          <w:tcPr>
            <w:tcW w:w="1473" w:type="dxa"/>
            <w:gridSpan w:val="2"/>
            <w:tcBorders>
              <w:top w:val="single" w:color="auto" w:sz="4" w:space="0"/>
              <w:left w:val="single" w:color="auto" w:sz="4" w:space="0"/>
              <w:bottom w:val="single" w:color="auto" w:sz="4" w:space="0"/>
              <w:right w:val="single" w:color="auto" w:sz="4" w:space="0"/>
            </w:tcBorders>
          </w:tcPr>
          <w:p>
            <w:pPr>
              <w:jc w:val="center"/>
            </w:pPr>
            <w:r>
              <w:t xml:space="preserve">107,6</w:t>
            </w:r>
          </w:p>
        </w:tc>
        <w:tc>
          <w:tcPr>
            <w:tcW w:w="1702" w:type="dxa"/>
            <w:gridSpan w:val="2"/>
            <w:tcBorders>
              <w:top w:val="single" w:color="auto" w:sz="4" w:space="0"/>
              <w:left w:val="single" w:color="auto" w:sz="4" w:space="0"/>
              <w:bottom w:val="single" w:color="auto" w:sz="4" w:space="0"/>
              <w:right w:val="single" w:color="auto" w:sz="4" w:space="0"/>
            </w:tcBorders>
          </w:tcPr>
          <w:p>
            <w:pPr>
              <w:jc w:val="center"/>
            </w:pPr>
            <w:r>
              <w:t xml:space="preserve">106,9</w:t>
            </w:r>
          </w:p>
        </w:tc>
        <w:tc>
          <w:tcPr>
            <w:tcW w:w="1644" w:type="dxa"/>
            <w:tcBorders>
              <w:top w:val="single" w:color="auto" w:sz="4" w:space="0"/>
              <w:left w:val="single" w:color="auto" w:sz="4" w:space="0"/>
              <w:bottom w:val="single" w:color="auto" w:sz="4" w:space="0"/>
              <w:right w:val="single" w:color="auto" w:sz="4" w:space="0"/>
            </w:tcBorders>
          </w:tcPr>
          <w:p>
            <w:pPr>
              <w:jc w:val="center"/>
            </w:pPr>
            <w:r>
              <w:t xml:space="preserve">107,7</w:t>
            </w:r>
          </w:p>
        </w:tc>
        <w:tc>
          <w:tcPr>
            <w:tcW w:w="1758" w:type="dxa"/>
            <w:gridSpan w:val="2"/>
            <w:tcBorders>
              <w:top w:val="single" w:color="auto" w:sz="4" w:space="0"/>
              <w:left w:val="single" w:color="auto" w:sz="4" w:space="0"/>
              <w:bottom w:val="single" w:color="auto" w:sz="4" w:space="0"/>
              <w:right w:val="single" w:color="auto" w:sz="4" w:space="0"/>
            </w:tcBorders>
          </w:tcPr>
          <w:p>
            <w:pPr>
              <w:jc w:val="center"/>
            </w:pPr>
            <w:r>
              <w:t xml:space="preserve">106,9</w:t>
            </w:r>
          </w:p>
        </w:tc>
        <w:tc>
          <w:tcPr>
            <w:tcW w:w="1361" w:type="dxa"/>
            <w:tcBorders>
              <w:top w:val="single" w:color="auto" w:sz="4" w:space="0"/>
              <w:left w:val="single" w:color="auto" w:sz="4" w:space="0"/>
              <w:bottom w:val="single" w:color="auto" w:sz="4" w:space="0"/>
              <w:right w:val="single" w:color="auto" w:sz="4" w:space="0"/>
            </w:tcBorders>
          </w:tcPr>
          <w:p>
            <w:pPr>
              <w:jc w:val="center"/>
            </w:pPr>
            <w:r>
              <w:t xml:space="preserve">107,7</w:t>
            </w:r>
          </w:p>
        </w:tc>
      </w:tr>
      <w:tr>
        <w:tc>
          <w:tcPr>
            <w:tcW w:w="539" w:type="dxa"/>
            <w:tcBorders>
              <w:top w:val="single" w:color="auto" w:sz="4" w:space="0"/>
              <w:left w:val="single" w:color="auto" w:sz="4" w:space="0"/>
              <w:bottom w:val="single" w:color="auto" w:sz="4" w:space="0"/>
              <w:right w:val="single" w:color="auto" w:sz="4" w:space="0"/>
            </w:tcBorders>
          </w:tcPr>
          <w:p>
            <w:pPr>
              <w:spacing w:line="235" w:lineRule="auto"/>
              <w:rPr>
                <w:spacing w:val="-4"/>
                <w:highlight w:val="white"/>
              </w:rPr>
            </w:pPr>
            <w:r>
              <w:rPr>
                <w:spacing w:val="-4"/>
                <w:highlight w:val="white"/>
              </w:rPr>
              <w:t xml:space="preserve">7.</w:t>
            </w:r>
          </w:p>
        </w:tc>
        <w:tc>
          <w:tcPr>
            <w:tcW w:w="1589" w:type="dxa"/>
            <w:tcBorders>
              <w:top w:val="single" w:color="auto" w:sz="4" w:space="0"/>
              <w:left w:val="single" w:color="auto" w:sz="4" w:space="0"/>
              <w:bottom w:val="single" w:color="auto" w:sz="4" w:space="0"/>
              <w:right w:val="single" w:color="auto" w:sz="4" w:space="0"/>
            </w:tcBorders>
          </w:tcPr>
          <w:p>
            <w:pPr>
              <w:spacing w:line="235" w:lineRule="auto"/>
              <w:rPr>
                <w:spacing w:val="-4"/>
                <w:highlight w:val="white"/>
              </w:rPr>
            </w:pPr>
            <w:r>
              <w:rPr>
                <w:spacing w:val="-4"/>
                <w:highlight w:val="white"/>
              </w:rPr>
              <w:t xml:space="preserve">Индекс производства  водоснабжение,  водоотведение, организация сбора и утилизации отходов, деятельность по ликвидации загрязнений</w:t>
            </w:r>
          </w:p>
        </w:tc>
        <w:tc>
          <w:tcPr>
            <w:tcW w:w="1418" w:type="dxa"/>
            <w:tcBorders>
              <w:top w:val="single" w:color="auto" w:sz="4" w:space="0"/>
              <w:left w:val="single" w:color="auto" w:sz="4" w:space="0"/>
              <w:bottom w:val="single" w:color="auto" w:sz="4" w:space="0"/>
              <w:right w:val="single" w:color="auto" w:sz="4" w:space="0"/>
            </w:tcBorders>
          </w:tcPr>
          <w:p>
            <w:pPr>
              <w:spacing w:line="235" w:lineRule="auto"/>
              <w:ind w:left="-108" w:right="-108"/>
              <w:jc w:val="center"/>
              <w:rPr>
                <w:highlight w:val="white"/>
              </w:rPr>
            </w:pPr>
            <w:r>
              <w:rPr>
                <w:highlight w:val="white"/>
              </w:rPr>
              <w:t xml:space="preserve">процентов к уровню </w:t>
            </w:r>
            <w:r>
              <w:rPr>
                <w:highlight w:val="white"/>
              </w:rPr>
              <w:t xml:space="preserve">предыду-щего</w:t>
            </w:r>
            <w:r>
              <w:rPr>
                <w:highlight w:val="white"/>
              </w:rPr>
              <w:t xml:space="preserve"> года в </w:t>
            </w:r>
            <w:r>
              <w:rPr>
                <w:highlight w:val="white"/>
              </w:rPr>
              <w:t xml:space="preserve">сопостави-мых</w:t>
            </w:r>
            <w:r>
              <w:rPr>
                <w:highlight w:val="white"/>
              </w:rPr>
              <w:t xml:space="preserve"> ценах</w:t>
            </w:r>
          </w:p>
        </w:tc>
        <w:tc>
          <w:tcPr>
            <w:tcW w:w="1417" w:type="dxa"/>
            <w:tcBorders>
              <w:top w:val="single" w:color="auto" w:sz="4" w:space="0"/>
              <w:left w:val="single" w:color="auto" w:sz="4" w:space="0"/>
              <w:bottom w:val="single" w:color="auto" w:sz="4" w:space="0"/>
              <w:right w:val="single" w:color="auto" w:sz="4" w:space="0"/>
            </w:tcBorders>
          </w:tcPr>
          <w:p>
            <w:pPr>
              <w:jc w:val="center"/>
            </w:pPr>
            <w:r>
              <w:t xml:space="preserve">87,9</w:t>
            </w:r>
          </w:p>
        </w:tc>
        <w:tc>
          <w:tcPr>
            <w:tcW w:w="1418" w:type="dxa"/>
            <w:tcBorders>
              <w:top w:val="single" w:color="auto" w:sz="4" w:space="0"/>
              <w:left w:val="single" w:color="auto" w:sz="4" w:space="0"/>
              <w:bottom w:val="single" w:color="auto" w:sz="4" w:space="0"/>
              <w:right w:val="single" w:color="auto" w:sz="4" w:space="0"/>
            </w:tcBorders>
          </w:tcPr>
          <w:p>
            <w:pPr>
              <w:jc w:val="center"/>
            </w:pPr>
            <w:r>
              <w:t xml:space="preserve">100,0</w:t>
            </w:r>
          </w:p>
        </w:tc>
        <w:tc>
          <w:tcPr>
            <w:tcW w:w="1701" w:type="dxa"/>
            <w:tcBorders>
              <w:top w:val="single" w:color="auto" w:sz="4" w:space="0"/>
              <w:left w:val="single" w:color="auto" w:sz="4" w:space="0"/>
              <w:bottom w:val="single" w:color="auto" w:sz="4" w:space="0"/>
              <w:right w:val="single" w:color="auto" w:sz="4" w:space="0"/>
            </w:tcBorders>
          </w:tcPr>
          <w:p>
            <w:pPr>
              <w:jc w:val="center"/>
            </w:pPr>
            <w:r>
              <w:t xml:space="preserve">100,2</w:t>
            </w:r>
          </w:p>
        </w:tc>
        <w:tc>
          <w:tcPr>
            <w:tcW w:w="1473" w:type="dxa"/>
            <w:gridSpan w:val="2"/>
            <w:tcBorders>
              <w:top w:val="single" w:color="auto" w:sz="4" w:space="0"/>
              <w:left w:val="single" w:color="auto" w:sz="4" w:space="0"/>
              <w:bottom w:val="single" w:color="auto" w:sz="4" w:space="0"/>
              <w:right w:val="single" w:color="auto" w:sz="4" w:space="0"/>
            </w:tcBorders>
          </w:tcPr>
          <w:p>
            <w:pPr>
              <w:jc w:val="center"/>
            </w:pPr>
            <w:r>
              <w:t xml:space="preserve">101,2</w:t>
            </w:r>
          </w:p>
        </w:tc>
        <w:tc>
          <w:tcPr>
            <w:tcW w:w="1702" w:type="dxa"/>
            <w:gridSpan w:val="2"/>
            <w:tcBorders>
              <w:top w:val="single" w:color="auto" w:sz="4" w:space="0"/>
              <w:left w:val="single" w:color="auto" w:sz="4" w:space="0"/>
              <w:bottom w:val="single" w:color="auto" w:sz="4" w:space="0"/>
              <w:right w:val="single" w:color="auto" w:sz="4" w:space="0"/>
            </w:tcBorders>
          </w:tcPr>
          <w:p>
            <w:pPr>
              <w:jc w:val="center"/>
            </w:pPr>
            <w:r>
              <w:t xml:space="preserve">100,3</w:t>
            </w:r>
          </w:p>
        </w:tc>
        <w:tc>
          <w:tcPr>
            <w:tcW w:w="1644" w:type="dxa"/>
            <w:tcBorders>
              <w:top w:val="single" w:color="auto" w:sz="4" w:space="0"/>
              <w:left w:val="single" w:color="auto" w:sz="4" w:space="0"/>
              <w:bottom w:val="single" w:color="auto" w:sz="4" w:space="0"/>
              <w:right w:val="single" w:color="auto" w:sz="4" w:space="0"/>
            </w:tcBorders>
          </w:tcPr>
          <w:p>
            <w:pPr>
              <w:jc w:val="center"/>
            </w:pPr>
            <w:r>
              <w:t xml:space="preserve">101,3</w:t>
            </w:r>
          </w:p>
        </w:tc>
        <w:tc>
          <w:tcPr>
            <w:tcW w:w="1758" w:type="dxa"/>
            <w:gridSpan w:val="2"/>
            <w:tcBorders>
              <w:top w:val="single" w:color="auto" w:sz="4" w:space="0"/>
              <w:left w:val="single" w:color="auto" w:sz="4" w:space="0"/>
              <w:bottom w:val="single" w:color="auto" w:sz="4" w:space="0"/>
              <w:right w:val="single" w:color="auto" w:sz="4" w:space="0"/>
            </w:tcBorders>
          </w:tcPr>
          <w:p>
            <w:pPr>
              <w:jc w:val="center"/>
            </w:pPr>
            <w:r>
              <w:t xml:space="preserve">100,3</w:t>
            </w:r>
          </w:p>
        </w:tc>
        <w:tc>
          <w:tcPr>
            <w:tcW w:w="1361" w:type="dxa"/>
            <w:tcBorders>
              <w:top w:val="single" w:color="auto" w:sz="4" w:space="0"/>
              <w:left w:val="single" w:color="auto" w:sz="4" w:space="0"/>
              <w:bottom w:val="single" w:color="auto" w:sz="4" w:space="0"/>
              <w:right w:val="single" w:color="auto" w:sz="4" w:space="0"/>
            </w:tcBorders>
          </w:tcPr>
          <w:p>
            <w:pPr>
              <w:jc w:val="center"/>
            </w:pPr>
            <w:r>
              <w:t xml:space="preserve">101,3</w:t>
            </w:r>
          </w:p>
        </w:tc>
      </w:tr>
      <w:tr>
        <w:tc>
          <w:tcPr>
            <w:tcW w:w="16020" w:type="dxa"/>
            <w:gridSpan w:val="14"/>
            <w:tcBorders>
              <w:top w:val="single" w:color="auto" w:sz="4" w:space="0"/>
              <w:left w:val="single" w:color="auto" w:sz="4" w:space="0"/>
              <w:bottom w:val="single" w:color="auto" w:sz="4" w:space="0"/>
              <w:right w:val="single" w:color="auto" w:sz="4" w:space="0"/>
            </w:tcBorders>
          </w:tcPr>
          <w:p>
            <w:pPr>
              <w:spacing w:line="235" w:lineRule="auto"/>
              <w:ind w:left="-108" w:right="-108"/>
              <w:jc w:val="center"/>
              <w:rPr>
                <w:highlight w:val="white"/>
              </w:rPr>
            </w:pPr>
            <w:r>
              <w:rPr>
                <w:highlight w:val="white"/>
              </w:rPr>
              <w:t xml:space="preserve">Сельское хозяйство</w:t>
            </w:r>
          </w:p>
        </w:tc>
      </w:tr>
      <w:tr>
        <w:tc>
          <w:tcPr>
            <w:tcW w:w="539" w:type="dxa"/>
            <w:tcBorders>
              <w:top w:val="single" w:color="auto" w:sz="4" w:space="0"/>
              <w:left w:val="single" w:color="auto" w:sz="4" w:space="0"/>
              <w:bottom w:val="single" w:color="auto" w:sz="4" w:space="0"/>
              <w:right w:val="single" w:color="auto" w:sz="4" w:space="0"/>
            </w:tcBorders>
          </w:tcPr>
          <w:p>
            <w:pPr>
              <w:spacing w:line="235" w:lineRule="auto"/>
              <w:rPr>
                <w:spacing w:val="-4"/>
                <w:highlight w:val="white"/>
              </w:rPr>
            </w:pPr>
            <w:r>
              <w:rPr>
                <w:spacing w:val="-4"/>
                <w:highlight w:val="white"/>
              </w:rPr>
              <w:t xml:space="preserve">8.</w:t>
            </w:r>
          </w:p>
        </w:tc>
        <w:tc>
          <w:tcPr>
            <w:tcW w:w="1589" w:type="dxa"/>
            <w:tcBorders>
              <w:top w:val="single" w:color="auto" w:sz="4" w:space="0"/>
              <w:left w:val="single" w:color="auto" w:sz="4" w:space="0"/>
              <w:bottom w:val="single" w:color="auto" w:sz="4" w:space="0"/>
              <w:right w:val="single" w:color="auto" w:sz="4" w:space="0"/>
            </w:tcBorders>
          </w:tcPr>
          <w:p>
            <w:pPr>
              <w:spacing w:line="235" w:lineRule="auto"/>
              <w:rPr>
                <w:spacing w:val="-4"/>
                <w:highlight w:val="white"/>
              </w:rPr>
            </w:pPr>
            <w:r>
              <w:rPr>
                <w:spacing w:val="-4"/>
                <w:highlight w:val="white"/>
              </w:rPr>
              <w:t xml:space="preserve">Продукция сельского хозяйства </w:t>
            </w:r>
          </w:p>
        </w:tc>
        <w:tc>
          <w:tcPr>
            <w:tcW w:w="1418" w:type="dxa"/>
            <w:tcBorders>
              <w:top w:val="single" w:color="auto" w:sz="4" w:space="0"/>
              <w:left w:val="single" w:color="auto" w:sz="4" w:space="0"/>
              <w:bottom w:val="single" w:color="auto" w:sz="4" w:space="0"/>
              <w:right w:val="single" w:color="auto" w:sz="4" w:space="0"/>
            </w:tcBorders>
          </w:tcPr>
          <w:p>
            <w:pPr>
              <w:spacing w:line="235" w:lineRule="auto"/>
              <w:ind w:left="-108" w:right="-108"/>
              <w:jc w:val="center"/>
              <w:rPr>
                <w:highlight w:val="white"/>
              </w:rPr>
            </w:pPr>
            <w:r>
              <w:rPr>
                <w:highlight w:val="white"/>
              </w:rPr>
              <w:t xml:space="preserve">млн.</w:t>
            </w:r>
          </w:p>
          <w:p>
            <w:pPr>
              <w:spacing w:line="235" w:lineRule="auto"/>
              <w:ind w:left="-108" w:right="-108"/>
              <w:jc w:val="center"/>
              <w:rPr>
                <w:highlight w:val="white"/>
              </w:rPr>
            </w:pPr>
            <w:r>
              <w:rPr>
                <w:highlight w:val="white"/>
              </w:rPr>
              <w:t xml:space="preserve">рублей</w:t>
            </w:r>
          </w:p>
        </w:tc>
        <w:tc>
          <w:tcPr>
            <w:tcW w:w="1417"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225 344,7</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t xml:space="preserve">194 805,46</w:t>
            </w:r>
          </w:p>
        </w:tc>
        <w:tc>
          <w:tcPr>
            <w:tcW w:w="170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181 993,17</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t xml:space="preserve">183 217,00</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t xml:space="preserve">195 178,82</w:t>
            </w:r>
          </w:p>
        </w:tc>
        <w:tc>
          <w:tcPr>
            <w:tcW w:w="1644" w:type="dxa"/>
            <w:tcBorders>
              <w:top w:val="single" w:color="auto" w:sz="4" w:space="0"/>
              <w:left w:val="single" w:color="auto" w:sz="4" w:space="0"/>
              <w:bottom w:val="single" w:color="auto" w:sz="4" w:space="0"/>
              <w:right w:val="single" w:color="auto" w:sz="4" w:space="0"/>
            </w:tcBorders>
          </w:tcPr>
          <w:p>
            <w:pPr>
              <w:jc w:val="center"/>
              <w:rPr>
                <w:highlight w:val="white"/>
              </w:rPr>
            </w:pPr>
            <w:r>
              <w:t xml:space="preserve">197 094,81</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t xml:space="preserve">208 624,96</w:t>
            </w:r>
          </w:p>
        </w:tc>
        <w:tc>
          <w:tcPr>
            <w:tcW w:w="1361" w:type="dxa"/>
            <w:tcBorders>
              <w:top w:val="single" w:color="auto" w:sz="4" w:space="0"/>
              <w:left w:val="single" w:color="auto" w:sz="4" w:space="0"/>
              <w:bottom w:val="single" w:color="auto" w:sz="4" w:space="0"/>
              <w:right w:val="single" w:color="auto" w:sz="4" w:space="0"/>
            </w:tcBorders>
          </w:tcPr>
          <w:p>
            <w:pPr>
              <w:jc w:val="center"/>
              <w:rPr>
                <w:highlight w:val="white"/>
              </w:rPr>
            </w:pPr>
            <w:r>
              <w:t xml:space="preserve">211 368,33</w:t>
            </w:r>
          </w:p>
        </w:tc>
      </w:tr>
      <w:tr>
        <w:tc>
          <w:tcPr>
            <w:tcW w:w="53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9.</w:t>
            </w:r>
          </w:p>
        </w:tc>
        <w:tc>
          <w:tcPr>
            <w:tcW w:w="1589" w:type="dxa"/>
            <w:tcBorders>
              <w:top w:val="single" w:color="auto" w:sz="4" w:space="0"/>
              <w:left w:val="single" w:color="auto" w:sz="4" w:space="0"/>
              <w:bottom w:val="single" w:color="auto" w:sz="4" w:space="0"/>
              <w:right w:val="single" w:color="auto" w:sz="4" w:space="0"/>
            </w:tcBorders>
          </w:tcPr>
          <w:p>
            <w:pPr>
              <w:ind w:firstLine="6"/>
              <w:rPr>
                <w:spacing w:val="-4"/>
                <w:highlight w:val="white"/>
              </w:rPr>
            </w:pPr>
            <w:r>
              <w:rPr>
                <w:spacing w:val="-4"/>
                <w:highlight w:val="white"/>
              </w:rPr>
              <w:t xml:space="preserve">Индекс производства продукции сельского хозяйства </w:t>
            </w:r>
          </w:p>
        </w:tc>
        <w:tc>
          <w:tcPr>
            <w:tcW w:w="1418" w:type="dxa"/>
            <w:tcBorders>
              <w:top w:val="single" w:color="auto" w:sz="4" w:space="0"/>
              <w:left w:val="single" w:color="auto" w:sz="4" w:space="0"/>
              <w:bottom w:val="single" w:color="auto" w:sz="4" w:space="0"/>
              <w:right w:val="single" w:color="auto" w:sz="4" w:space="0"/>
            </w:tcBorders>
          </w:tcPr>
          <w:p>
            <w:pPr>
              <w:ind w:left="-108" w:right="-108"/>
              <w:jc w:val="center"/>
              <w:rPr>
                <w:highlight w:val="white"/>
              </w:rPr>
            </w:pPr>
            <w:r>
              <w:rPr>
                <w:highlight w:val="white"/>
              </w:rPr>
              <w:t xml:space="preserve">процентов к уровню </w:t>
            </w:r>
            <w:r>
              <w:rPr>
                <w:highlight w:val="white"/>
              </w:rPr>
              <w:t xml:space="preserve">предыду-щего</w:t>
            </w:r>
            <w:r>
              <w:rPr>
                <w:highlight w:val="white"/>
              </w:rPr>
              <w:t xml:space="preserve"> года в </w:t>
            </w:r>
            <w:r>
              <w:rPr>
                <w:highlight w:val="white"/>
              </w:rPr>
              <w:t xml:space="preserve">сопостави-мых</w:t>
            </w:r>
            <w:r>
              <w:rPr>
                <w:highlight w:val="white"/>
              </w:rPr>
              <w:t xml:space="preserve"> ценах</w:t>
            </w:r>
          </w:p>
        </w:tc>
        <w:tc>
          <w:tcPr>
            <w:tcW w:w="1417"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108,</w:t>
            </w:r>
            <w:r>
              <w:rPr>
                <w:highlight w:val="white"/>
              </w:rPr>
              <w:t xml:space="preserve">3</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t xml:space="preserve">95,04</w:t>
            </w:r>
          </w:p>
        </w:tc>
        <w:tc>
          <w:tcPr>
            <w:tcW w:w="1701" w:type="dxa"/>
            <w:tcBorders>
              <w:top w:val="single" w:color="auto" w:sz="4" w:space="0"/>
              <w:left w:val="single" w:color="auto" w:sz="4" w:space="0"/>
              <w:bottom w:val="single" w:color="auto" w:sz="4" w:space="0"/>
              <w:right w:val="single" w:color="auto" w:sz="4" w:space="0"/>
            </w:tcBorders>
          </w:tcPr>
          <w:p>
            <w:pPr>
              <w:jc w:val="center"/>
            </w:pPr>
            <w:r>
              <w:t xml:space="preserve">88,80</w:t>
            </w:r>
          </w:p>
        </w:tc>
        <w:tc>
          <w:tcPr>
            <w:tcW w:w="1473" w:type="dxa"/>
            <w:gridSpan w:val="2"/>
            <w:tcBorders>
              <w:top w:val="single" w:color="auto" w:sz="4" w:space="0"/>
              <w:left w:val="single" w:color="auto" w:sz="4" w:space="0"/>
              <w:bottom w:val="single" w:color="auto" w:sz="4" w:space="0"/>
              <w:right w:val="single" w:color="auto" w:sz="4" w:space="0"/>
            </w:tcBorders>
          </w:tcPr>
          <w:p>
            <w:pPr>
              <w:jc w:val="center"/>
            </w:pPr>
            <w:r>
              <w:t xml:space="preserve">89,59</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102,24</w:t>
            </w:r>
          </w:p>
        </w:tc>
        <w:tc>
          <w:tcPr>
            <w:tcW w:w="1644"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102,82</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102,19</w:t>
            </w:r>
          </w:p>
        </w:tc>
        <w:tc>
          <w:tcPr>
            <w:tcW w:w="136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102,76</w:t>
            </w:r>
          </w:p>
        </w:tc>
      </w:tr>
      <w:tr>
        <w:tc>
          <w:tcPr>
            <w:tcW w:w="539" w:type="dxa"/>
            <w:vMerge w:val="restart"/>
            <w:tcBorders>
              <w:top w:val="single" w:color="auto" w:sz="4" w:space="0"/>
              <w:left w:val="single" w:color="auto" w:sz="4" w:space="0"/>
              <w:right w:val="single" w:color="auto" w:sz="4" w:space="0"/>
            </w:tcBorders>
          </w:tcPr>
          <w:p>
            <w:pPr>
              <w:rPr>
                <w:bCs/>
                <w:color w:val="000000"/>
                <w:highlight w:val="white"/>
              </w:rPr>
            </w:pPr>
            <w:r>
              <w:rPr>
                <w:bCs/>
                <w:color w:val="000000"/>
                <w:highlight w:val="white"/>
              </w:rPr>
              <w:t xml:space="preserve">10.</w:t>
            </w:r>
          </w:p>
        </w:tc>
        <w:tc>
          <w:tcPr>
            <w:tcW w:w="1589" w:type="dxa"/>
            <w:tcBorders>
              <w:top w:val="single" w:color="auto" w:sz="4" w:space="0"/>
              <w:left w:val="single" w:color="auto" w:sz="4" w:space="0"/>
              <w:bottom w:val="single" w:color="auto" w:sz="4" w:space="0"/>
              <w:right w:val="single" w:color="auto" w:sz="4" w:space="0"/>
            </w:tcBorders>
          </w:tcPr>
          <w:p>
            <w:pPr>
              <w:rPr>
                <w:bCs/>
                <w:color w:val="000000"/>
                <w:highlight w:val="white"/>
              </w:rPr>
            </w:pPr>
            <w:r>
              <w:rPr>
                <w:bCs/>
                <w:color w:val="000000"/>
                <w:highlight w:val="white"/>
              </w:rPr>
              <w:t xml:space="preserve">Производст</w:t>
            </w:r>
            <w:r>
              <w:rPr>
                <w:bCs/>
                <w:color w:val="000000"/>
                <w:highlight w:val="white"/>
              </w:rPr>
              <w:t xml:space="preserve">-во важней-</w:t>
            </w:r>
            <w:r>
              <w:rPr>
                <w:bCs/>
                <w:color w:val="000000"/>
                <w:highlight w:val="white"/>
              </w:rPr>
              <w:t xml:space="preserve">ших</w:t>
            </w:r>
            <w:r>
              <w:rPr>
                <w:bCs/>
                <w:color w:val="000000"/>
                <w:highlight w:val="white"/>
              </w:rPr>
              <w:t xml:space="preserve"> видов продукции в натуральном выражении:</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p>
        </w:tc>
        <w:tc>
          <w:tcPr>
            <w:tcW w:w="1417" w:type="dxa"/>
            <w:tcBorders>
              <w:top w:val="single" w:color="auto" w:sz="4" w:space="0"/>
              <w:left w:val="single" w:color="auto" w:sz="4" w:space="0"/>
              <w:bottom w:val="single" w:color="auto" w:sz="4" w:space="0"/>
              <w:right w:val="single" w:color="auto" w:sz="4" w:space="0"/>
            </w:tcBorders>
          </w:tcPr>
          <w:p>
            <w:pPr>
              <w:jc w:val="center"/>
              <w:rPr>
                <w:highlight w:val="white"/>
              </w:rPr>
            </w:pP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p>
        </w:tc>
        <w:tc>
          <w:tcPr>
            <w:tcW w:w="1701" w:type="dxa"/>
            <w:tcBorders>
              <w:top w:val="single" w:color="auto" w:sz="4" w:space="0"/>
              <w:left w:val="single" w:color="auto" w:sz="4" w:space="0"/>
              <w:bottom w:val="single" w:color="auto" w:sz="4" w:space="0"/>
              <w:right w:val="single" w:color="auto" w:sz="4" w:space="0"/>
            </w:tcBorders>
          </w:tcPr>
          <w:p>
            <w:pPr>
              <w:jc w:val="center"/>
              <w:rPr>
                <w:highlight w:val="white"/>
              </w:rPr>
            </w:pPr>
          </w:p>
        </w:tc>
        <w:tc>
          <w:tcPr>
            <w:tcW w:w="1473"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p>
        </w:tc>
        <w:tc>
          <w:tcPr>
            <w:tcW w:w="1702"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p>
        </w:tc>
        <w:tc>
          <w:tcPr>
            <w:tcW w:w="1644" w:type="dxa"/>
            <w:tcBorders>
              <w:top w:val="single" w:color="auto" w:sz="4" w:space="0"/>
              <w:left w:val="single" w:color="auto" w:sz="4" w:space="0"/>
              <w:bottom w:val="single" w:color="auto" w:sz="4" w:space="0"/>
              <w:right w:val="single" w:color="auto" w:sz="4" w:space="0"/>
            </w:tcBorders>
          </w:tcPr>
          <w:p>
            <w:pPr>
              <w:jc w:val="center"/>
              <w:rPr>
                <w:highlight w:val="white"/>
              </w:rPr>
            </w:pPr>
          </w:p>
        </w:tc>
        <w:tc>
          <w:tcPr>
            <w:tcW w:w="1758"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p>
        </w:tc>
        <w:tc>
          <w:tcPr>
            <w:tcW w:w="1361" w:type="dxa"/>
            <w:tcBorders>
              <w:top w:val="single" w:color="auto" w:sz="4" w:space="0"/>
              <w:left w:val="single" w:color="auto" w:sz="4" w:space="0"/>
              <w:bottom w:val="single" w:color="auto" w:sz="4" w:space="0"/>
              <w:right w:val="single" w:color="auto" w:sz="4" w:space="0"/>
            </w:tcBorders>
          </w:tcPr>
          <w:p>
            <w:pPr>
              <w:jc w:val="center"/>
              <w:rPr>
                <w:highlight w:val="white"/>
              </w:rPr>
            </w:pPr>
          </w:p>
        </w:tc>
      </w:tr>
      <w:tr>
        <w:tc>
          <w:tcPr>
            <w:tcW w:w="539" w:type="dxa"/>
            <w:vMerge w:val="continue"/>
            <w:tcBorders>
              <w:left w:val="single" w:color="auto" w:sz="4" w:space="0"/>
              <w:right w:val="single" w:color="auto" w:sz="4" w:space="0"/>
            </w:tcBorders>
          </w:tcPr>
          <w:p>
            <w:pPr>
              <w:rPr>
                <w:color w:val="000000"/>
              </w:rPr>
            </w:pPr>
          </w:p>
        </w:tc>
        <w:tc>
          <w:tcPr>
            <w:tcW w:w="1589" w:type="dxa"/>
            <w:tcBorders>
              <w:top w:val="single" w:color="auto" w:sz="4" w:space="0"/>
              <w:left w:val="single" w:color="auto" w:sz="4" w:space="0"/>
              <w:bottom w:val="single" w:color="auto" w:sz="4" w:space="0"/>
              <w:right w:val="single" w:color="auto" w:sz="4" w:space="0"/>
            </w:tcBorders>
          </w:tcPr>
          <w:p>
            <w:pPr>
              <w:rPr>
                <w:color w:val="000000"/>
                <w:highlight w:val="white"/>
              </w:rPr>
            </w:pPr>
            <w:r>
              <w:rPr>
                <w:color w:val="000000"/>
                <w:highlight w:val="white"/>
              </w:rPr>
              <w:t xml:space="preserve">валовой сбор зерна (в весе после доработки)</w:t>
            </w:r>
          </w:p>
        </w:tc>
        <w:tc>
          <w:tcPr>
            <w:tcW w:w="1418" w:type="dxa"/>
            <w:tcBorders>
              <w:top w:val="single" w:color="auto" w:sz="4" w:space="0"/>
              <w:left w:val="single" w:color="auto" w:sz="4" w:space="0"/>
              <w:bottom w:val="single" w:color="auto" w:sz="4" w:space="0"/>
              <w:right w:val="single" w:color="auto" w:sz="4" w:space="0"/>
            </w:tcBorders>
          </w:tcPr>
          <w:p>
            <w:pPr>
              <w:jc w:val="center"/>
              <w:rPr>
                <w:color w:val="000000"/>
                <w:highlight w:val="white"/>
              </w:rPr>
            </w:pPr>
            <w:r>
              <w:rPr>
                <w:color w:val="000000"/>
                <w:highlight w:val="white"/>
              </w:rPr>
              <w:t xml:space="preserve">тыс. тонн</w:t>
            </w:r>
          </w:p>
          <w:p>
            <w:pPr>
              <w:jc w:val="center"/>
              <w:rPr>
                <w:highlight w:val="white"/>
              </w:rPr>
            </w:pPr>
          </w:p>
        </w:tc>
        <w:tc>
          <w:tcPr>
            <w:tcW w:w="1417"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3 932,5</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t xml:space="preserve">4 000,0</w:t>
            </w:r>
          </w:p>
        </w:tc>
        <w:tc>
          <w:tcPr>
            <w:tcW w:w="170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3 720,0</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3 750,0</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3 750,0</w:t>
            </w:r>
          </w:p>
        </w:tc>
        <w:tc>
          <w:tcPr>
            <w:tcW w:w="1644"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3 800,0</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3 780,0</w:t>
            </w:r>
          </w:p>
        </w:tc>
        <w:tc>
          <w:tcPr>
            <w:tcW w:w="136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3 850,0</w:t>
            </w:r>
          </w:p>
        </w:tc>
      </w:tr>
      <w:tr>
        <w:tc>
          <w:tcPr>
            <w:tcW w:w="539" w:type="dxa"/>
            <w:vMerge w:val="continue"/>
            <w:tcBorders>
              <w:left w:val="single" w:color="auto" w:sz="4" w:space="0"/>
              <w:right w:val="single" w:color="auto" w:sz="4" w:space="0"/>
            </w:tcBorders>
          </w:tcPr>
          <w:p>
            <w:pPr>
              <w:ind w:firstLine="6"/>
              <w:rPr>
                <w:color w:val="000000"/>
              </w:rPr>
            </w:pPr>
          </w:p>
        </w:tc>
        <w:tc>
          <w:tcPr>
            <w:tcW w:w="1589" w:type="dxa"/>
            <w:tcBorders>
              <w:top w:val="single" w:color="auto" w:sz="4" w:space="0"/>
              <w:left w:val="single" w:color="auto" w:sz="4" w:space="0"/>
              <w:bottom w:val="single" w:color="auto" w:sz="4" w:space="0"/>
              <w:right w:val="single" w:color="auto" w:sz="4" w:space="0"/>
            </w:tcBorders>
          </w:tcPr>
          <w:p>
            <w:pPr>
              <w:ind w:firstLine="6"/>
              <w:rPr>
                <w:spacing w:val="-4"/>
                <w:highlight w:val="white"/>
              </w:rPr>
            </w:pPr>
            <w:r>
              <w:rPr>
                <w:color w:val="000000"/>
                <w:highlight w:val="white"/>
              </w:rPr>
              <w:t xml:space="preserve">скот и птица на убой (в живом весе)</w:t>
            </w:r>
          </w:p>
        </w:tc>
        <w:tc>
          <w:tcPr>
            <w:tcW w:w="1418" w:type="dxa"/>
            <w:tcBorders>
              <w:top w:val="single" w:color="auto" w:sz="4" w:space="0"/>
              <w:left w:val="single" w:color="auto" w:sz="4" w:space="0"/>
              <w:bottom w:val="single" w:color="auto" w:sz="4" w:space="0"/>
              <w:right w:val="single" w:color="auto" w:sz="4" w:space="0"/>
            </w:tcBorders>
          </w:tcPr>
          <w:p>
            <w:pPr>
              <w:jc w:val="center"/>
              <w:rPr>
                <w:color w:val="000000"/>
                <w:highlight w:val="white"/>
              </w:rPr>
            </w:pPr>
            <w:r>
              <w:rPr>
                <w:color w:val="000000"/>
                <w:highlight w:val="white"/>
              </w:rPr>
              <w:t xml:space="preserve">тыс. тонн</w:t>
            </w:r>
          </w:p>
          <w:p>
            <w:pPr>
              <w:jc w:val="center"/>
              <w:rPr>
                <w:highlight w:val="white"/>
              </w:rPr>
            </w:pPr>
          </w:p>
        </w:tc>
        <w:tc>
          <w:tcPr>
            <w:tcW w:w="1417"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199,3</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181,0</w:t>
            </w:r>
          </w:p>
        </w:tc>
        <w:tc>
          <w:tcPr>
            <w:tcW w:w="170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182,5</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183,5</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184,5</w:t>
            </w:r>
          </w:p>
        </w:tc>
        <w:tc>
          <w:tcPr>
            <w:tcW w:w="1644"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186,5</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185,0</w:t>
            </w:r>
          </w:p>
        </w:tc>
        <w:tc>
          <w:tcPr>
            <w:tcW w:w="136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188,0</w:t>
            </w:r>
          </w:p>
        </w:tc>
      </w:tr>
      <w:tr>
        <w:trPr>
          <w:trHeight w:val="97"/>
        </w:trPr>
        <w:tc>
          <w:tcPr>
            <w:tcW w:w="539" w:type="dxa"/>
            <w:vMerge w:val="continue"/>
            <w:tcBorders>
              <w:left w:val="single" w:color="auto" w:sz="4" w:space="0"/>
              <w:right w:val="single" w:color="auto" w:sz="4" w:space="0"/>
            </w:tcBorders>
          </w:tcPr>
          <w:p>
            <w:pPr>
              <w:jc w:val="both"/>
              <w:rPr>
                <w:color w:val="000000"/>
              </w:rPr>
            </w:pPr>
          </w:p>
        </w:tc>
        <w:tc>
          <w:tcPr>
            <w:tcW w:w="1589" w:type="dxa"/>
            <w:tcBorders>
              <w:top w:val="single" w:color="auto" w:sz="4" w:space="0"/>
              <w:left w:val="single" w:color="auto" w:sz="4" w:space="0"/>
              <w:bottom w:val="single" w:color="auto" w:sz="4" w:space="0"/>
              <w:right w:val="single" w:color="auto" w:sz="4" w:space="0"/>
            </w:tcBorders>
          </w:tcPr>
          <w:p>
            <w:pPr>
              <w:jc w:val="both"/>
              <w:rPr>
                <w:color w:val="000000"/>
                <w:highlight w:val="white"/>
              </w:rPr>
            </w:pPr>
            <w:r>
              <w:rPr>
                <w:color w:val="000000"/>
                <w:highlight w:val="white"/>
              </w:rPr>
              <w:t xml:space="preserve">молоко</w:t>
            </w:r>
          </w:p>
        </w:tc>
        <w:tc>
          <w:tcPr>
            <w:tcW w:w="1418" w:type="dxa"/>
            <w:tcBorders>
              <w:top w:val="single" w:color="auto" w:sz="4" w:space="0"/>
              <w:left w:val="single" w:color="auto" w:sz="4" w:space="0"/>
              <w:bottom w:val="single" w:color="auto" w:sz="4" w:space="0"/>
              <w:right w:val="single" w:color="auto" w:sz="4" w:space="0"/>
            </w:tcBorders>
          </w:tcPr>
          <w:p>
            <w:pPr>
              <w:jc w:val="center"/>
              <w:rPr>
                <w:color w:val="000000"/>
                <w:highlight w:val="white"/>
              </w:rPr>
            </w:pPr>
            <w:r>
              <w:rPr>
                <w:color w:val="000000"/>
                <w:highlight w:val="white"/>
              </w:rPr>
              <w:t xml:space="preserve">тыс. тонн</w:t>
            </w:r>
          </w:p>
        </w:tc>
        <w:tc>
          <w:tcPr>
            <w:tcW w:w="1417"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614,0</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615,0</w:t>
            </w:r>
          </w:p>
        </w:tc>
        <w:tc>
          <w:tcPr>
            <w:tcW w:w="170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616,0</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617,0</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619,0</w:t>
            </w:r>
          </w:p>
        </w:tc>
        <w:tc>
          <w:tcPr>
            <w:tcW w:w="1644"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620,0</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621,0</w:t>
            </w:r>
          </w:p>
        </w:tc>
        <w:tc>
          <w:tcPr>
            <w:tcW w:w="136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622,0</w:t>
            </w:r>
          </w:p>
        </w:tc>
      </w:tr>
      <w:tr>
        <w:tc>
          <w:tcPr>
            <w:tcW w:w="539" w:type="dxa"/>
            <w:vMerge w:val="continue"/>
            <w:tcBorders>
              <w:left w:val="single" w:color="auto" w:sz="4" w:space="0"/>
              <w:bottom w:val="single" w:color="auto" w:sz="4" w:space="0"/>
              <w:right w:val="single" w:color="auto" w:sz="4" w:space="0"/>
            </w:tcBorders>
          </w:tcPr>
          <w:p>
            <w:pPr>
              <w:jc w:val="both"/>
              <w:rPr>
                <w:color w:val="000000"/>
              </w:rPr>
            </w:pPr>
          </w:p>
        </w:tc>
        <w:tc>
          <w:tcPr>
            <w:tcW w:w="1589" w:type="dxa"/>
            <w:tcBorders>
              <w:top w:val="single" w:color="auto" w:sz="4" w:space="0"/>
              <w:left w:val="single" w:color="auto" w:sz="4" w:space="0"/>
              <w:bottom w:val="single" w:color="auto" w:sz="4" w:space="0"/>
              <w:right w:val="single" w:color="auto" w:sz="4" w:space="0"/>
            </w:tcBorders>
          </w:tcPr>
          <w:p>
            <w:pPr>
              <w:jc w:val="both"/>
              <w:rPr>
                <w:color w:val="000000"/>
                <w:highlight w:val="white"/>
              </w:rPr>
            </w:pPr>
            <w:r>
              <w:rPr>
                <w:color w:val="000000"/>
                <w:highlight w:val="white"/>
              </w:rPr>
              <w:t xml:space="preserve">яйцо</w:t>
            </w:r>
          </w:p>
        </w:tc>
        <w:tc>
          <w:tcPr>
            <w:tcW w:w="1418" w:type="dxa"/>
            <w:tcBorders>
              <w:top w:val="single" w:color="auto" w:sz="4" w:space="0"/>
              <w:left w:val="single" w:color="auto" w:sz="4" w:space="0"/>
              <w:bottom w:val="single" w:color="auto" w:sz="4" w:space="0"/>
              <w:right w:val="single" w:color="auto" w:sz="4" w:space="0"/>
            </w:tcBorders>
          </w:tcPr>
          <w:p>
            <w:pPr>
              <w:jc w:val="center"/>
              <w:rPr>
                <w:color w:val="000000"/>
                <w:highlight w:val="white"/>
              </w:rPr>
            </w:pPr>
            <w:r>
              <w:rPr>
                <w:color w:val="000000"/>
                <w:highlight w:val="white"/>
              </w:rPr>
              <w:t xml:space="preserve">млн. штук</w:t>
            </w:r>
          </w:p>
        </w:tc>
        <w:tc>
          <w:tcPr>
            <w:tcW w:w="1417"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1 066,0</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1 040,0</w:t>
            </w:r>
          </w:p>
        </w:tc>
        <w:tc>
          <w:tcPr>
            <w:tcW w:w="170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1 041,0</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1 043,0</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1 043,0</w:t>
            </w:r>
          </w:p>
        </w:tc>
        <w:tc>
          <w:tcPr>
            <w:tcW w:w="1644"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1 045,0</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1 080,0</w:t>
            </w:r>
          </w:p>
        </w:tc>
        <w:tc>
          <w:tcPr>
            <w:tcW w:w="136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1 090,0</w:t>
            </w:r>
          </w:p>
        </w:tc>
      </w:tr>
      <w:tr>
        <w:tc>
          <w:tcPr>
            <w:tcW w:w="16020" w:type="dxa"/>
            <w:gridSpan w:val="14"/>
            <w:tcBorders>
              <w:top w:val="single" w:color="auto" w:sz="4" w:space="0"/>
              <w:left w:val="single" w:color="auto" w:sz="4" w:space="0"/>
              <w:bottom w:val="single" w:color="auto" w:sz="4" w:space="0"/>
              <w:right w:val="single" w:color="auto" w:sz="4" w:space="0"/>
            </w:tcBorders>
          </w:tcPr>
          <w:p>
            <w:pPr>
              <w:ind w:left="-108" w:right="-108"/>
              <w:jc w:val="center"/>
              <w:rPr>
                <w:sz w:val="19"/>
                <w:szCs w:val="19"/>
                <w:highlight w:val="white"/>
              </w:rPr>
            </w:pPr>
            <w:r>
              <w:rPr>
                <w:highlight w:val="white"/>
              </w:rPr>
              <w:t xml:space="preserve">Инвестиции, строительство</w:t>
            </w:r>
            <w:r>
              <w:rPr>
                <w:sz w:val="19"/>
                <w:szCs w:val="19"/>
                <w:highlight w:val="white"/>
              </w:rPr>
              <w:t xml:space="preserve"> </w:t>
            </w:r>
          </w:p>
        </w:tc>
      </w:tr>
      <w:tr>
        <w:tc>
          <w:tcPr>
            <w:tcW w:w="53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11.</w:t>
            </w:r>
          </w:p>
        </w:tc>
        <w:tc>
          <w:tcPr>
            <w:tcW w:w="158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Инвестиции в основной капитал </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млн.</w:t>
            </w:r>
          </w:p>
          <w:p>
            <w:pPr>
              <w:jc w:val="center"/>
              <w:rPr>
                <w:highlight w:val="white"/>
              </w:rPr>
            </w:pPr>
            <w:r>
              <w:rPr>
                <w:highlight w:val="white"/>
              </w:rPr>
              <w:t xml:space="preserve">рублей</w:t>
            </w:r>
          </w:p>
        </w:tc>
        <w:tc>
          <w:tcPr>
            <w:tcW w:w="1417"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345 632,5</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378 602,80</w:t>
            </w:r>
          </w:p>
        </w:tc>
        <w:tc>
          <w:tcPr>
            <w:tcW w:w="170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402 965,13</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406 615,62</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434 952,60</w:t>
            </w:r>
          </w:p>
        </w:tc>
        <w:tc>
          <w:tcPr>
            <w:tcW w:w="1644"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439 371,76</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468 172,54</w:t>
            </w:r>
          </w:p>
        </w:tc>
        <w:tc>
          <w:tcPr>
            <w:tcW w:w="136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473 394,51</w:t>
            </w:r>
          </w:p>
        </w:tc>
      </w:tr>
      <w:tr>
        <w:trPr>
          <w:trHeight w:val="1508"/>
        </w:trPr>
        <w:tc>
          <w:tcPr>
            <w:tcW w:w="53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12.</w:t>
            </w:r>
          </w:p>
        </w:tc>
        <w:tc>
          <w:tcPr>
            <w:tcW w:w="158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Индекс физического объема инвестиций в основной капитал</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процентов к уровню </w:t>
            </w:r>
            <w:r>
              <w:rPr>
                <w:highlight w:val="white"/>
              </w:rPr>
              <w:t xml:space="preserve">предыду-щего</w:t>
            </w:r>
            <w:r>
              <w:rPr>
                <w:highlight w:val="white"/>
              </w:rPr>
              <w:t xml:space="preserve"> года в </w:t>
            </w:r>
            <w:r>
              <w:rPr>
                <w:highlight w:val="white"/>
              </w:rPr>
              <w:t xml:space="preserve">сопостави-мых</w:t>
            </w:r>
            <w:r>
              <w:rPr>
                <w:highlight w:val="white"/>
              </w:rPr>
              <w:t xml:space="preserve"> ценах</w:t>
            </w:r>
          </w:p>
        </w:tc>
        <w:tc>
          <w:tcPr>
            <w:tcW w:w="1417"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108,0</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101,99</w:t>
            </w:r>
          </w:p>
        </w:tc>
        <w:tc>
          <w:tcPr>
            <w:tcW w:w="170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100,6</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101,8</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103,2</w:t>
            </w:r>
          </w:p>
        </w:tc>
        <w:tc>
          <w:tcPr>
            <w:tcW w:w="1644"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103,8</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103,2</w:t>
            </w:r>
          </w:p>
        </w:tc>
        <w:tc>
          <w:tcPr>
            <w:tcW w:w="136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103,5</w:t>
            </w:r>
          </w:p>
        </w:tc>
      </w:tr>
      <w:tr>
        <w:tc>
          <w:tcPr>
            <w:tcW w:w="539" w:type="dxa"/>
            <w:vMerge w:val="restart"/>
            <w:tcBorders>
              <w:top w:val="single" w:color="auto" w:sz="4" w:space="0"/>
              <w:left w:val="single" w:color="auto" w:sz="4" w:space="0"/>
              <w:right w:val="single" w:color="auto" w:sz="4" w:space="0"/>
            </w:tcBorders>
          </w:tcPr>
          <w:p>
            <w:pPr>
              <w:ind w:firstLine="6"/>
              <w:rPr>
                <w:spacing w:val="-4"/>
                <w:highlight w:val="white"/>
              </w:rPr>
            </w:pPr>
            <w:r>
              <w:rPr>
                <w:spacing w:val="-4"/>
                <w:highlight w:val="white"/>
              </w:rPr>
              <w:t xml:space="preserve">13.</w:t>
            </w:r>
          </w:p>
        </w:tc>
        <w:tc>
          <w:tcPr>
            <w:tcW w:w="1589" w:type="dxa"/>
            <w:vMerge w:val="restart"/>
            <w:tcBorders>
              <w:top w:val="single" w:color="auto" w:sz="4" w:space="0"/>
              <w:left w:val="single" w:color="auto" w:sz="4" w:space="0"/>
              <w:right w:val="single" w:color="auto" w:sz="4" w:space="0"/>
            </w:tcBorders>
          </w:tcPr>
          <w:p>
            <w:pPr>
              <w:ind w:firstLine="6"/>
              <w:rPr>
                <w:spacing w:val="-4"/>
                <w:highlight w:val="white"/>
              </w:rPr>
            </w:pPr>
            <w:r>
              <w:rPr>
                <w:spacing w:val="-4"/>
                <w:highlight w:val="white"/>
              </w:rPr>
              <w:t xml:space="preserve">Ввод в действие жилых домов</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тыс. кв.</w:t>
            </w:r>
          </w:p>
          <w:p>
            <w:pPr>
              <w:jc w:val="center"/>
              <w:rPr>
                <w:highlight w:val="white"/>
              </w:rPr>
            </w:pPr>
            <w:r>
              <w:rPr>
                <w:highlight w:val="white"/>
              </w:rPr>
              <w:t xml:space="preserve">метров</w:t>
            </w:r>
          </w:p>
          <w:p>
            <w:pPr>
              <w:jc w:val="center"/>
              <w:rPr>
                <w:highlight w:val="white"/>
              </w:rPr>
            </w:pPr>
            <w:r>
              <w:rPr>
                <w:highlight w:val="white"/>
              </w:rPr>
              <w:t xml:space="preserve">общей</w:t>
            </w:r>
          </w:p>
          <w:p>
            <w:pPr>
              <w:jc w:val="center"/>
              <w:rPr>
                <w:highlight w:val="white"/>
              </w:rPr>
            </w:pPr>
            <w:r>
              <w:rPr>
                <w:highlight w:val="white"/>
              </w:rPr>
              <w:t xml:space="preserve">площади</w:t>
            </w:r>
          </w:p>
        </w:tc>
        <w:tc>
          <w:tcPr>
            <w:tcW w:w="1417"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1 189,00</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1 184</w:t>
            </w:r>
          </w:p>
        </w:tc>
        <w:tc>
          <w:tcPr>
            <w:tcW w:w="170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1 100</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1 200</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1 298</w:t>
            </w:r>
          </w:p>
        </w:tc>
        <w:tc>
          <w:tcPr>
            <w:tcW w:w="1644"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1 398</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1 424</w:t>
            </w:r>
          </w:p>
        </w:tc>
        <w:tc>
          <w:tcPr>
            <w:tcW w:w="136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1 534</w:t>
            </w:r>
          </w:p>
        </w:tc>
      </w:tr>
      <w:tr>
        <w:tc>
          <w:tcPr>
            <w:tcW w:w="539" w:type="dxa"/>
            <w:vMerge w:val="continue"/>
            <w:tcBorders>
              <w:left w:val="single" w:color="auto" w:sz="4" w:space="0"/>
              <w:bottom w:val="single" w:color="auto" w:sz="4" w:space="0"/>
              <w:right w:val="single" w:color="auto" w:sz="4" w:space="0"/>
            </w:tcBorders>
          </w:tcPr>
          <w:p>
            <w:pPr>
              <w:pStyle w:val="5"/>
              <w:spacing w:line="223" w:lineRule="auto"/>
              <w:rPr>
                <w:rFonts w:ascii="Times New Roman" w:hAnsi="Times New Roman"/>
                <w:spacing w:val="-4"/>
                <w:sz w:val="20"/>
                <w:szCs w:val="20"/>
              </w:rPr>
            </w:pPr>
          </w:p>
        </w:tc>
        <w:tc>
          <w:tcPr>
            <w:tcW w:w="1589" w:type="dxa"/>
            <w:vMerge w:val="continue"/>
            <w:tcBorders>
              <w:left w:val="single" w:color="auto" w:sz="4" w:space="0"/>
              <w:bottom w:val="single" w:color="auto" w:sz="4" w:space="0"/>
              <w:right w:val="single" w:color="auto" w:sz="4" w:space="0"/>
            </w:tcBorders>
          </w:tcPr>
          <w:p>
            <w:pPr>
              <w:pStyle w:val="5"/>
              <w:spacing w:line="223" w:lineRule="auto"/>
              <w:rPr>
                <w:rFonts w:ascii="Times New Roman" w:hAnsi="Times New Roman"/>
                <w:spacing w:val="-4"/>
                <w:sz w:val="20"/>
                <w:szCs w:val="20"/>
              </w:rPr>
            </w:pPr>
          </w:p>
        </w:tc>
        <w:tc>
          <w:tcPr>
            <w:tcW w:w="1418" w:type="dxa"/>
            <w:tcBorders>
              <w:top w:val="single" w:color="auto" w:sz="4" w:space="0"/>
              <w:left w:val="single" w:color="auto" w:sz="4" w:space="0"/>
              <w:bottom w:val="single" w:color="auto" w:sz="4" w:space="0"/>
              <w:right w:val="single" w:color="auto" w:sz="4" w:space="0"/>
            </w:tcBorders>
          </w:tcPr>
          <w:p>
            <w:pPr>
              <w:spacing w:line="223" w:lineRule="auto"/>
              <w:jc w:val="center"/>
              <w:rPr>
                <w:highlight w:val="white"/>
              </w:rPr>
            </w:pPr>
            <w:r>
              <w:rPr>
                <w:highlight w:val="white"/>
              </w:rPr>
              <w:t xml:space="preserve">процентов к уровню </w:t>
            </w:r>
            <w:r>
              <w:rPr>
                <w:highlight w:val="white"/>
              </w:rPr>
              <w:t xml:space="preserve">предыду-щего</w:t>
            </w:r>
            <w:r>
              <w:rPr>
                <w:highlight w:val="white"/>
              </w:rPr>
              <w:t xml:space="preserve"> года</w:t>
            </w:r>
          </w:p>
        </w:tc>
        <w:tc>
          <w:tcPr>
            <w:tcW w:w="1417" w:type="dxa"/>
            <w:tcBorders>
              <w:top w:val="single" w:color="auto" w:sz="4" w:space="0"/>
              <w:left w:val="single" w:color="auto" w:sz="4" w:space="0"/>
              <w:bottom w:val="single" w:color="auto" w:sz="4" w:space="0"/>
              <w:right w:val="single" w:color="auto" w:sz="4" w:space="0"/>
            </w:tcBorders>
          </w:tcPr>
          <w:p>
            <w:pPr>
              <w:jc w:val="center"/>
              <w:rPr>
                <w:highlight w:val="white"/>
              </w:rPr>
            </w:pPr>
            <w:r>
              <w:t xml:space="preserve">105,2</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t xml:space="preserve">99,6</w:t>
            </w:r>
          </w:p>
        </w:tc>
        <w:tc>
          <w:tcPr>
            <w:tcW w:w="170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92,9</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101,4</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118,0</w:t>
            </w:r>
          </w:p>
        </w:tc>
        <w:tc>
          <w:tcPr>
            <w:tcW w:w="1644"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116,5</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109,7</w:t>
            </w:r>
          </w:p>
        </w:tc>
        <w:tc>
          <w:tcPr>
            <w:tcW w:w="136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109,7</w:t>
            </w:r>
          </w:p>
        </w:tc>
      </w:tr>
      <w:tr>
        <w:trPr>
          <w:trHeight w:val="337"/>
        </w:trPr>
        <w:tc>
          <w:tcPr>
            <w:tcW w:w="16020" w:type="dxa"/>
            <w:gridSpan w:val="14"/>
            <w:tcBorders>
              <w:top w:val="single" w:color="auto" w:sz="4" w:space="0"/>
              <w:left w:val="single" w:color="auto" w:sz="4" w:space="0"/>
              <w:bottom w:val="single" w:color="auto" w:sz="4" w:space="0"/>
              <w:right w:val="single" w:color="auto" w:sz="4" w:space="0"/>
            </w:tcBorders>
          </w:tcPr>
          <w:p>
            <w:pPr>
              <w:ind w:left="-108" w:right="-108"/>
              <w:jc w:val="center"/>
              <w:rPr>
                <w:sz w:val="19"/>
                <w:szCs w:val="19"/>
                <w:highlight w:val="white"/>
              </w:rPr>
            </w:pPr>
            <w:r>
              <w:rPr>
                <w:highlight w:val="white"/>
              </w:rPr>
              <w:t xml:space="preserve">Малое и среднее предпринимательство</w:t>
            </w:r>
          </w:p>
        </w:tc>
      </w:tr>
      <w:tr>
        <w:tc>
          <w:tcPr>
            <w:tcW w:w="539" w:type="dxa"/>
            <w:tcBorders>
              <w:top w:val="single" w:color="auto" w:sz="4" w:space="0"/>
              <w:left w:val="single" w:color="auto" w:sz="4" w:space="0"/>
              <w:bottom w:val="single" w:color="auto" w:sz="4" w:space="0"/>
              <w:right w:val="single" w:color="auto" w:sz="4" w:space="0"/>
            </w:tcBorders>
          </w:tcPr>
          <w:p>
            <w:pPr>
              <w:pStyle w:val="5"/>
              <w:spacing w:before="0" w:after="0" w:line="223" w:lineRule="auto"/>
              <w:rPr>
                <w:rFonts w:ascii="Times New Roman" w:hAnsi="Times New Roman"/>
                <w:b w:val="0"/>
                <w:i w:val="0"/>
                <w:spacing w:val="-4"/>
                <w:sz w:val="24"/>
                <w:szCs w:val="24"/>
                <w:highlight w:val="white"/>
              </w:rPr>
            </w:pPr>
            <w:r>
              <w:rPr>
                <w:rFonts w:ascii="Times New Roman" w:hAnsi="Times New Roman"/>
                <w:b w:val="0"/>
                <w:i w:val="0"/>
                <w:spacing w:val="-4"/>
                <w:sz w:val="24"/>
                <w:szCs w:val="24"/>
                <w:highlight w:val="white"/>
              </w:rPr>
              <w:t xml:space="preserve">14.</w:t>
            </w:r>
          </w:p>
        </w:tc>
        <w:tc>
          <w:tcPr>
            <w:tcW w:w="1589" w:type="dxa"/>
            <w:tcBorders>
              <w:top w:val="single" w:color="auto" w:sz="4" w:space="0"/>
              <w:left w:val="single" w:color="auto" w:sz="4" w:space="0"/>
              <w:bottom w:val="single" w:color="auto" w:sz="4" w:space="0"/>
              <w:right w:val="single" w:color="auto" w:sz="4" w:space="0"/>
            </w:tcBorders>
          </w:tcPr>
          <w:p>
            <w:pPr>
              <w:pStyle w:val="5"/>
              <w:spacing w:before="0" w:after="0" w:line="223" w:lineRule="auto"/>
              <w:rPr>
                <w:rFonts w:ascii="Times New Roman" w:hAnsi="Times New Roman"/>
                <w:b w:val="0"/>
                <w:i w:val="0"/>
                <w:spacing w:val="-4"/>
                <w:sz w:val="24"/>
                <w:szCs w:val="24"/>
                <w:highlight w:val="white"/>
              </w:rPr>
            </w:pPr>
            <w:r>
              <w:rPr>
                <w:rFonts w:ascii="Times New Roman" w:hAnsi="Times New Roman"/>
                <w:b w:val="0"/>
                <w:i w:val="0"/>
                <w:spacing w:val="-4"/>
                <w:sz w:val="24"/>
                <w:szCs w:val="24"/>
                <w:highlight w:val="white"/>
              </w:rPr>
              <w:t xml:space="preserve">Количество малых и </w:t>
            </w:r>
            <w:r>
              <w:rPr>
                <w:rFonts w:ascii="Times New Roman" w:hAnsi="Times New Roman"/>
                <w:b w:val="0"/>
                <w:i w:val="0"/>
                <w:spacing w:val="-4"/>
                <w:sz w:val="24"/>
                <w:szCs w:val="24"/>
                <w:highlight w:val="white"/>
              </w:rPr>
              <w:t xml:space="preserve">средних предприятий, включая </w:t>
            </w:r>
            <w:r>
              <w:rPr>
                <w:rFonts w:ascii="Times New Roman" w:hAnsi="Times New Roman"/>
                <w:b w:val="0"/>
                <w:i w:val="0"/>
                <w:spacing w:val="-4"/>
                <w:sz w:val="24"/>
                <w:szCs w:val="24"/>
                <w:highlight w:val="white"/>
              </w:rPr>
              <w:t xml:space="preserve">микропредприятия</w:t>
            </w:r>
            <w:r>
              <w:rPr>
                <w:rFonts w:ascii="Times New Roman" w:hAnsi="Times New Roman"/>
                <w:b w:val="0"/>
                <w:i w:val="0"/>
                <w:spacing w:val="-4"/>
                <w:sz w:val="24"/>
                <w:szCs w:val="24"/>
                <w:highlight w:val="white"/>
              </w:rPr>
              <w:t xml:space="preserve"> (на конец года)</w:t>
            </w:r>
          </w:p>
        </w:tc>
        <w:tc>
          <w:tcPr>
            <w:tcW w:w="1418" w:type="dxa"/>
            <w:tcBorders>
              <w:top w:val="single" w:color="auto" w:sz="4" w:space="0"/>
              <w:left w:val="single" w:color="auto" w:sz="4" w:space="0"/>
              <w:bottom w:val="single" w:color="auto" w:sz="4" w:space="0"/>
              <w:right w:val="single" w:color="auto" w:sz="4" w:space="0"/>
            </w:tcBorders>
          </w:tcPr>
          <w:p>
            <w:pPr>
              <w:spacing w:line="223" w:lineRule="auto"/>
              <w:jc w:val="center"/>
              <w:rPr>
                <w:highlight w:val="white"/>
              </w:rPr>
            </w:pPr>
            <w:r>
              <w:rPr>
                <w:highlight w:val="white"/>
              </w:rPr>
              <w:t xml:space="preserve">единиц</w:t>
            </w:r>
          </w:p>
        </w:tc>
        <w:tc>
          <w:tcPr>
            <w:tcW w:w="1417"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16054</w:t>
            </w:r>
          </w:p>
        </w:tc>
        <w:tc>
          <w:tcPr>
            <w:tcW w:w="1418"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16281</w:t>
            </w:r>
          </w:p>
        </w:tc>
        <w:tc>
          <w:tcPr>
            <w:tcW w:w="1701"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16525</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16603</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16872</w:t>
            </w:r>
          </w:p>
        </w:tc>
        <w:tc>
          <w:tcPr>
            <w:tcW w:w="1644"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17155</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17478</w:t>
            </w:r>
          </w:p>
        </w:tc>
        <w:tc>
          <w:tcPr>
            <w:tcW w:w="1361"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17954</w:t>
            </w:r>
          </w:p>
        </w:tc>
      </w:tr>
      <w:tr>
        <w:tc>
          <w:tcPr>
            <w:tcW w:w="539" w:type="dxa"/>
            <w:tcBorders>
              <w:top w:val="single" w:color="auto" w:sz="4" w:space="0"/>
              <w:left w:val="single" w:color="auto" w:sz="4" w:space="0"/>
              <w:bottom w:val="single" w:color="auto" w:sz="4" w:space="0"/>
              <w:right w:val="single" w:color="auto" w:sz="4" w:space="0"/>
            </w:tcBorders>
          </w:tcPr>
          <w:p>
            <w:pPr>
              <w:spacing w:line="223" w:lineRule="auto"/>
              <w:rPr>
                <w:spacing w:val="-4"/>
                <w:highlight w:val="white"/>
              </w:rPr>
            </w:pPr>
            <w:r>
              <w:rPr>
                <w:spacing w:val="-4"/>
                <w:highlight w:val="white"/>
              </w:rPr>
              <w:t xml:space="preserve">15.</w:t>
            </w:r>
          </w:p>
        </w:tc>
        <w:tc>
          <w:tcPr>
            <w:tcW w:w="1589" w:type="dxa"/>
            <w:tcBorders>
              <w:top w:val="single" w:color="auto" w:sz="4" w:space="0"/>
              <w:left w:val="single" w:color="auto" w:sz="4" w:space="0"/>
              <w:bottom w:val="single" w:color="auto" w:sz="4" w:space="0"/>
              <w:right w:val="single" w:color="auto" w:sz="4" w:space="0"/>
            </w:tcBorders>
          </w:tcPr>
          <w:p>
            <w:pPr>
              <w:spacing w:line="223" w:lineRule="auto"/>
              <w:ind w:right="-103"/>
              <w:rPr>
                <w:spacing w:val="-4"/>
                <w:highlight w:val="white"/>
              </w:rPr>
            </w:pPr>
            <w:r>
              <w:rPr>
                <w:spacing w:val="-4"/>
                <w:highlight w:val="white"/>
              </w:rPr>
              <w:t xml:space="preserve">Среднеспи</w:t>
            </w:r>
            <w:r>
              <w:rPr>
                <w:spacing w:val="-4"/>
                <w:highlight w:val="white"/>
              </w:rPr>
              <w:t xml:space="preserve">-сочная численность работников на предприятиях малого и среднего предпринимательства (включая </w:t>
            </w:r>
            <w:r>
              <w:rPr>
                <w:spacing w:val="-4"/>
                <w:highlight w:val="white"/>
              </w:rPr>
              <w:t xml:space="preserve">микропредприятия</w:t>
            </w:r>
            <w:r>
              <w:rPr>
                <w:spacing w:val="-4"/>
                <w:highlight w:val="white"/>
              </w:rPr>
              <w:t xml:space="preserve">) (без внешних совместителей)</w:t>
            </w:r>
          </w:p>
        </w:tc>
        <w:tc>
          <w:tcPr>
            <w:tcW w:w="1418" w:type="dxa"/>
            <w:tcBorders>
              <w:top w:val="single" w:color="auto" w:sz="4" w:space="0"/>
              <w:left w:val="single" w:color="auto" w:sz="4" w:space="0"/>
              <w:bottom w:val="single" w:color="auto" w:sz="4" w:space="0"/>
              <w:right w:val="single" w:color="auto" w:sz="4" w:space="0"/>
            </w:tcBorders>
          </w:tcPr>
          <w:p>
            <w:pPr>
              <w:spacing w:line="223" w:lineRule="auto"/>
              <w:jc w:val="center"/>
              <w:rPr>
                <w:highlight w:val="white"/>
              </w:rPr>
            </w:pPr>
            <w:r>
              <w:rPr>
                <w:highlight w:val="white"/>
              </w:rPr>
              <w:t xml:space="preserve">тыс.</w:t>
            </w:r>
          </w:p>
          <w:p>
            <w:pPr>
              <w:spacing w:line="223" w:lineRule="auto"/>
              <w:jc w:val="center"/>
              <w:rPr>
                <w:highlight w:val="white"/>
              </w:rPr>
            </w:pPr>
            <w:r>
              <w:rPr>
                <w:highlight w:val="white"/>
              </w:rPr>
              <w:t xml:space="preserve">человек</w:t>
            </w:r>
          </w:p>
        </w:tc>
        <w:tc>
          <w:tcPr>
            <w:tcW w:w="1417"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100,50</w:t>
            </w:r>
          </w:p>
        </w:tc>
        <w:tc>
          <w:tcPr>
            <w:tcW w:w="1418"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103,52</w:t>
            </w:r>
          </w:p>
        </w:tc>
        <w:tc>
          <w:tcPr>
            <w:tcW w:w="1701"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103,62</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103,83</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104,04</w:t>
            </w:r>
          </w:p>
        </w:tc>
        <w:tc>
          <w:tcPr>
            <w:tcW w:w="1644"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104,45</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104,77</w:t>
            </w:r>
          </w:p>
        </w:tc>
        <w:tc>
          <w:tcPr>
            <w:tcW w:w="1361"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105,39</w:t>
            </w:r>
          </w:p>
        </w:tc>
      </w:tr>
      <w:tr>
        <w:tc>
          <w:tcPr>
            <w:tcW w:w="539" w:type="dxa"/>
            <w:tcBorders>
              <w:top w:val="single" w:color="auto" w:sz="4" w:space="0"/>
              <w:left w:val="single" w:color="auto" w:sz="4" w:space="0"/>
              <w:bottom w:val="single" w:color="auto" w:sz="4" w:space="0"/>
              <w:right w:val="single" w:color="auto" w:sz="4" w:space="0"/>
            </w:tcBorders>
          </w:tcPr>
          <w:p>
            <w:pPr>
              <w:spacing w:line="223" w:lineRule="auto"/>
              <w:ind w:firstLine="6"/>
              <w:rPr>
                <w:spacing w:val="-4"/>
                <w:highlight w:val="white"/>
              </w:rPr>
            </w:pPr>
            <w:r>
              <w:rPr>
                <w:spacing w:val="-4"/>
                <w:highlight w:val="white"/>
              </w:rPr>
              <w:t xml:space="preserve">16.</w:t>
            </w:r>
          </w:p>
        </w:tc>
        <w:tc>
          <w:tcPr>
            <w:tcW w:w="1589" w:type="dxa"/>
            <w:tcBorders>
              <w:top w:val="single" w:color="auto" w:sz="4" w:space="0"/>
              <w:left w:val="single" w:color="auto" w:sz="4" w:space="0"/>
              <w:bottom w:val="single" w:color="auto" w:sz="4" w:space="0"/>
              <w:right w:val="single" w:color="auto" w:sz="4" w:space="0"/>
            </w:tcBorders>
          </w:tcPr>
          <w:p>
            <w:pPr>
              <w:spacing w:line="223" w:lineRule="auto"/>
              <w:ind w:right="-103"/>
              <w:rPr>
                <w:spacing w:val="-4"/>
                <w:highlight w:val="white"/>
              </w:rPr>
            </w:pPr>
            <w:r>
              <w:rPr>
                <w:spacing w:val="-4"/>
                <w:highlight w:val="white"/>
              </w:rPr>
              <w:t xml:space="preserve">Оборот малых и средних предприятий, включая </w:t>
            </w:r>
            <w:r>
              <w:rPr>
                <w:spacing w:val="-4"/>
                <w:highlight w:val="white"/>
              </w:rPr>
              <w:t xml:space="preserve">микропредприятия</w:t>
            </w:r>
          </w:p>
        </w:tc>
        <w:tc>
          <w:tcPr>
            <w:tcW w:w="1418" w:type="dxa"/>
            <w:tcBorders>
              <w:top w:val="single" w:color="auto" w:sz="4" w:space="0"/>
              <w:left w:val="single" w:color="auto" w:sz="4" w:space="0"/>
              <w:bottom w:val="single" w:color="auto" w:sz="4" w:space="0"/>
              <w:right w:val="single" w:color="auto" w:sz="4" w:space="0"/>
            </w:tcBorders>
          </w:tcPr>
          <w:p>
            <w:pPr>
              <w:spacing w:line="223" w:lineRule="auto"/>
              <w:jc w:val="center"/>
              <w:rPr>
                <w:highlight w:val="white"/>
              </w:rPr>
            </w:pPr>
            <w:r>
              <w:rPr>
                <w:highlight w:val="white"/>
              </w:rPr>
              <w:t xml:space="preserve">млрд.</w:t>
            </w:r>
          </w:p>
          <w:p>
            <w:pPr>
              <w:spacing w:line="223" w:lineRule="auto"/>
              <w:jc w:val="center"/>
              <w:rPr>
                <w:highlight w:val="white"/>
              </w:rPr>
            </w:pPr>
            <w:r>
              <w:rPr>
                <w:highlight w:val="white"/>
              </w:rPr>
              <w:t xml:space="preserve">рублей</w:t>
            </w:r>
          </w:p>
        </w:tc>
        <w:tc>
          <w:tcPr>
            <w:tcW w:w="1417"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651,00</w:t>
            </w:r>
          </w:p>
        </w:tc>
        <w:tc>
          <w:tcPr>
            <w:tcW w:w="1418"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730,51</w:t>
            </w:r>
          </w:p>
        </w:tc>
        <w:tc>
          <w:tcPr>
            <w:tcW w:w="1701"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764,12</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767,77</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800,03</w:t>
            </w:r>
          </w:p>
        </w:tc>
        <w:tc>
          <w:tcPr>
            <w:tcW w:w="1644"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813,76</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838,43</w:t>
            </w:r>
          </w:p>
        </w:tc>
        <w:tc>
          <w:tcPr>
            <w:tcW w:w="1361"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869,91</w:t>
            </w:r>
          </w:p>
        </w:tc>
      </w:tr>
      <w:tr>
        <w:tc>
          <w:tcPr>
            <w:tcW w:w="16020" w:type="dxa"/>
            <w:gridSpan w:val="14"/>
            <w:tcBorders>
              <w:top w:val="single" w:color="auto" w:sz="4" w:space="0"/>
              <w:left w:val="single" w:color="auto" w:sz="4" w:space="0"/>
              <w:bottom w:val="single" w:color="auto" w:sz="4" w:space="0"/>
              <w:right w:val="single" w:color="auto" w:sz="4" w:space="0"/>
            </w:tcBorders>
          </w:tcPr>
          <w:p>
            <w:pPr>
              <w:ind w:left="-108" w:right="-108"/>
              <w:jc w:val="center"/>
              <w:rPr>
                <w:sz w:val="19"/>
                <w:szCs w:val="19"/>
                <w:highlight w:val="white"/>
              </w:rPr>
            </w:pPr>
            <w:r>
              <w:rPr>
                <w:spacing w:val="-4"/>
                <w:highlight w:val="white"/>
              </w:rPr>
              <w:t xml:space="preserve">Потребительский рынок</w:t>
            </w:r>
          </w:p>
        </w:tc>
      </w:tr>
      <w:tr>
        <w:trPr>
          <w:trHeight w:val="1852"/>
        </w:trPr>
        <w:tc>
          <w:tcPr>
            <w:tcW w:w="53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17.</w:t>
            </w:r>
          </w:p>
        </w:tc>
        <w:tc>
          <w:tcPr>
            <w:tcW w:w="158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Индекс потребите-</w:t>
            </w:r>
            <w:r>
              <w:rPr>
                <w:spacing w:val="-4"/>
                <w:highlight w:val="white"/>
              </w:rPr>
              <w:t xml:space="preserve">льских</w:t>
            </w:r>
            <w:r>
              <w:rPr>
                <w:spacing w:val="-4"/>
                <w:highlight w:val="white"/>
              </w:rPr>
              <w:t xml:space="preserve"> цен  на товары и услуги в среднем за год</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процентов к уровню </w:t>
            </w:r>
            <w:r>
              <w:rPr>
                <w:highlight w:val="white"/>
              </w:rPr>
              <w:t xml:space="preserve">предыду-щего</w:t>
            </w:r>
            <w:r>
              <w:rPr>
                <w:highlight w:val="white"/>
              </w:rPr>
              <w:t xml:space="preserve"> года</w:t>
            </w:r>
          </w:p>
        </w:tc>
        <w:tc>
          <w:tcPr>
            <w:tcW w:w="1417"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108,06</w:t>
            </w:r>
          </w:p>
        </w:tc>
        <w:tc>
          <w:tcPr>
            <w:tcW w:w="1418"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109,00</w:t>
            </w:r>
          </w:p>
        </w:tc>
        <w:tc>
          <w:tcPr>
            <w:tcW w:w="1701"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105,10</w:t>
            </w:r>
          </w:p>
        </w:tc>
        <w:tc>
          <w:tcPr>
            <w:tcW w:w="1444"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105,10</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104,00</w:t>
            </w:r>
          </w:p>
        </w:tc>
        <w:tc>
          <w:tcPr>
            <w:tcW w:w="1673" w:type="dxa"/>
            <w:gridSpan w:val="2"/>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104,00</w:t>
            </w:r>
          </w:p>
        </w:tc>
        <w:tc>
          <w:tcPr>
            <w:tcW w:w="1729"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104,00</w:t>
            </w:r>
          </w:p>
        </w:tc>
        <w:tc>
          <w:tcPr>
            <w:tcW w:w="1390" w:type="dxa"/>
            <w:gridSpan w:val="2"/>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104,00</w:t>
            </w:r>
          </w:p>
        </w:tc>
      </w:tr>
      <w:tr>
        <w:tc>
          <w:tcPr>
            <w:tcW w:w="53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18.</w:t>
            </w:r>
          </w:p>
        </w:tc>
        <w:tc>
          <w:tcPr>
            <w:tcW w:w="158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Индекс потребительских цен на </w:t>
            </w:r>
            <w:r>
              <w:rPr>
                <w:spacing w:val="-4"/>
                <w:highlight w:val="white"/>
              </w:rPr>
              <w:t xml:space="preserve">товары и услуги на конец года</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процентов к декабрю</w:t>
            </w:r>
          </w:p>
          <w:p>
            <w:pPr>
              <w:jc w:val="center"/>
              <w:rPr>
                <w:highlight w:val="white"/>
              </w:rPr>
            </w:pPr>
            <w:r>
              <w:rPr>
                <w:highlight w:val="white"/>
              </w:rPr>
              <w:t xml:space="preserve">предыду-щего</w:t>
            </w:r>
            <w:r>
              <w:rPr>
                <w:highlight w:val="white"/>
              </w:rPr>
              <w:t xml:space="preserve"> года</w:t>
            </w:r>
          </w:p>
        </w:tc>
        <w:tc>
          <w:tcPr>
            <w:tcW w:w="1417"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109,75</w:t>
            </w:r>
          </w:p>
        </w:tc>
        <w:tc>
          <w:tcPr>
            <w:tcW w:w="1418"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rPr>
              <w:t xml:space="preserve">106,80</w:t>
            </w:r>
          </w:p>
        </w:tc>
        <w:tc>
          <w:tcPr>
            <w:tcW w:w="1701"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104,00</w:t>
            </w:r>
          </w:p>
        </w:tc>
        <w:tc>
          <w:tcPr>
            <w:tcW w:w="1444"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104,00</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104,00</w:t>
            </w:r>
          </w:p>
        </w:tc>
        <w:tc>
          <w:tcPr>
            <w:tcW w:w="1673" w:type="dxa"/>
            <w:gridSpan w:val="2"/>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104,00</w:t>
            </w:r>
          </w:p>
        </w:tc>
        <w:tc>
          <w:tcPr>
            <w:tcW w:w="1729" w:type="dxa"/>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104,00</w:t>
            </w:r>
          </w:p>
        </w:tc>
        <w:tc>
          <w:tcPr>
            <w:tcW w:w="1390" w:type="dxa"/>
            <w:gridSpan w:val="2"/>
            <w:tcBorders>
              <w:top w:val="single" w:color="auto" w:sz="4" w:space="0"/>
              <w:left w:val="single" w:color="auto" w:sz="4" w:space="0"/>
              <w:bottom w:val="single" w:color="auto" w:sz="4" w:space="0"/>
              <w:right w:val="single" w:color="auto" w:sz="4" w:space="0"/>
            </w:tcBorders>
          </w:tcPr>
          <w:p>
            <w:pPr>
              <w:jc w:val="center"/>
              <w:rPr>
                <w:color w:val="000000" w:themeColor="text1"/>
                <w:highlight w:val="white"/>
              </w:rPr>
            </w:pPr>
            <w:r>
              <w:rPr>
                <w:color w:val="000000" w:themeColor="text1"/>
                <w:highlight w:val="white"/>
              </w:rPr>
              <w:t xml:space="preserve">104,00</w:t>
            </w:r>
          </w:p>
        </w:tc>
      </w:tr>
      <w:tr>
        <w:trPr>
          <w:trHeight w:val="874"/>
        </w:trPr>
        <w:tc>
          <w:tcPr>
            <w:tcW w:w="53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19.</w:t>
            </w:r>
          </w:p>
        </w:tc>
        <w:tc>
          <w:tcPr>
            <w:tcW w:w="158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Оборот розничной торговли </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млн.</w:t>
            </w:r>
          </w:p>
          <w:p>
            <w:pPr>
              <w:jc w:val="center"/>
              <w:rPr>
                <w:highlight w:val="white"/>
              </w:rPr>
            </w:pPr>
            <w:r>
              <w:rPr>
                <w:highlight w:val="white"/>
              </w:rPr>
              <w:t xml:space="preserve">рублей</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532 776,5</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604 632,1</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661 515,9</w:t>
            </w:r>
          </w:p>
        </w:tc>
        <w:tc>
          <w:tcPr>
            <w:tcW w:w="1444" w:type="dxa"/>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665 972,0</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714 119,6</w:t>
            </w:r>
          </w:p>
        </w:tc>
        <w:tc>
          <w:tcPr>
            <w:tcW w:w="1673" w:type="dxa"/>
            <w:gridSpan w:val="2"/>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721 007,9</w:t>
            </w:r>
          </w:p>
        </w:tc>
        <w:tc>
          <w:tcPr>
            <w:tcW w:w="1729" w:type="dxa"/>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769 421,0</w:t>
            </w:r>
          </w:p>
        </w:tc>
        <w:tc>
          <w:tcPr>
            <w:tcW w:w="1390" w:type="dxa"/>
            <w:gridSpan w:val="2"/>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779 092,3</w:t>
            </w:r>
          </w:p>
        </w:tc>
      </w:tr>
      <w:tr>
        <w:tc>
          <w:tcPr>
            <w:tcW w:w="53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20.</w:t>
            </w:r>
          </w:p>
        </w:tc>
        <w:tc>
          <w:tcPr>
            <w:tcW w:w="158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Индекс физического объема оборота розничной торговли</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процентов к уровню </w:t>
            </w:r>
            <w:r>
              <w:rPr>
                <w:highlight w:val="white"/>
              </w:rPr>
              <w:t xml:space="preserve">предыду-щего</w:t>
            </w:r>
            <w:r>
              <w:rPr>
                <w:highlight w:val="white"/>
              </w:rPr>
              <w:t xml:space="preserve"> года в </w:t>
            </w:r>
            <w:r>
              <w:rPr>
                <w:highlight w:val="white"/>
              </w:rPr>
              <w:t xml:space="preserve">сопостави-мых</w:t>
            </w:r>
            <w:r>
              <w:rPr>
                <w:highlight w:val="white"/>
              </w:rPr>
              <w:t xml:space="preserve"> ценах</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106,9</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104,5</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104</w:t>
            </w:r>
          </w:p>
        </w:tc>
        <w:tc>
          <w:tcPr>
            <w:tcW w:w="1444" w:type="dxa"/>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104,9</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103,8</w:t>
            </w:r>
          </w:p>
        </w:tc>
        <w:tc>
          <w:tcPr>
            <w:tcW w:w="1673" w:type="dxa"/>
            <w:gridSpan w:val="2"/>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104,1</w:t>
            </w:r>
          </w:p>
        </w:tc>
        <w:tc>
          <w:tcPr>
            <w:tcW w:w="1729" w:type="dxa"/>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103,6</w:t>
            </w:r>
          </w:p>
        </w:tc>
        <w:tc>
          <w:tcPr>
            <w:tcW w:w="1390" w:type="dxa"/>
            <w:gridSpan w:val="2"/>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103,9</w:t>
            </w:r>
          </w:p>
        </w:tc>
      </w:tr>
      <w:tr>
        <w:tc>
          <w:tcPr>
            <w:tcW w:w="539" w:type="dxa"/>
            <w:tcBorders>
              <w:top w:val="single" w:color="auto" w:sz="4" w:space="0"/>
              <w:left w:val="single" w:color="auto" w:sz="4" w:space="0"/>
              <w:bottom w:val="single" w:color="auto" w:sz="4" w:space="0"/>
              <w:right w:val="single" w:color="auto" w:sz="4" w:space="0"/>
            </w:tcBorders>
          </w:tcPr>
          <w:p>
            <w:pPr>
              <w:ind w:firstLine="6"/>
              <w:rPr>
                <w:spacing w:val="-4"/>
                <w:highlight w:val="white"/>
              </w:rPr>
            </w:pPr>
            <w:r>
              <w:rPr>
                <w:spacing w:val="-4"/>
                <w:highlight w:val="white"/>
              </w:rPr>
              <w:t xml:space="preserve">21.</w:t>
            </w:r>
          </w:p>
        </w:tc>
        <w:tc>
          <w:tcPr>
            <w:tcW w:w="1589" w:type="dxa"/>
            <w:tcBorders>
              <w:top w:val="single" w:color="auto" w:sz="4" w:space="0"/>
              <w:left w:val="single" w:color="auto" w:sz="4" w:space="0"/>
              <w:bottom w:val="single" w:color="auto" w:sz="4" w:space="0"/>
              <w:right w:val="single" w:color="auto" w:sz="4" w:space="0"/>
            </w:tcBorders>
          </w:tcPr>
          <w:p>
            <w:pPr>
              <w:ind w:firstLine="6"/>
              <w:rPr>
                <w:spacing w:val="-4"/>
                <w:highlight w:val="white"/>
              </w:rPr>
            </w:pPr>
            <w:r>
              <w:rPr>
                <w:spacing w:val="-4"/>
                <w:highlight w:val="white"/>
              </w:rPr>
              <w:t xml:space="preserve">Объем платных услуг населению </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млн.</w:t>
            </w:r>
          </w:p>
          <w:p>
            <w:pPr>
              <w:jc w:val="center"/>
              <w:rPr>
                <w:highlight w:val="white"/>
              </w:rPr>
            </w:pPr>
            <w:r>
              <w:rPr>
                <w:highlight w:val="white"/>
              </w:rPr>
              <w:t xml:space="preserve">рублей</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135 649,2</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157 016,7</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170 426,4</w:t>
            </w:r>
          </w:p>
        </w:tc>
        <w:tc>
          <w:tcPr>
            <w:tcW w:w="1444" w:type="dxa"/>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171 592,5</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182 191,7</w:t>
            </w:r>
          </w:p>
        </w:tc>
        <w:tc>
          <w:tcPr>
            <w:tcW w:w="1673" w:type="dxa"/>
            <w:gridSpan w:val="2"/>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184 335,0</w:t>
            </w:r>
          </w:p>
        </w:tc>
        <w:tc>
          <w:tcPr>
            <w:tcW w:w="1729" w:type="dxa"/>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193 837,4</w:t>
            </w:r>
          </w:p>
        </w:tc>
        <w:tc>
          <w:tcPr>
            <w:tcW w:w="1390" w:type="dxa"/>
            <w:gridSpan w:val="2"/>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197 076,2</w:t>
            </w:r>
          </w:p>
        </w:tc>
      </w:tr>
      <w:tr>
        <w:tc>
          <w:tcPr>
            <w:tcW w:w="539" w:type="dxa"/>
            <w:tcBorders>
              <w:top w:val="single" w:color="auto" w:sz="4" w:space="0"/>
              <w:left w:val="single" w:color="auto" w:sz="4" w:space="0"/>
              <w:bottom w:val="single" w:color="auto" w:sz="4" w:space="0"/>
              <w:right w:val="single" w:color="auto" w:sz="4" w:space="0"/>
            </w:tcBorders>
          </w:tcPr>
          <w:p>
            <w:pPr>
              <w:ind w:firstLine="6"/>
              <w:rPr>
                <w:spacing w:val="-4"/>
                <w:highlight w:val="white"/>
              </w:rPr>
            </w:pPr>
            <w:r>
              <w:rPr>
                <w:spacing w:val="-4"/>
                <w:highlight w:val="white"/>
              </w:rPr>
              <w:t xml:space="preserve">22.</w:t>
            </w:r>
          </w:p>
        </w:tc>
        <w:tc>
          <w:tcPr>
            <w:tcW w:w="1589" w:type="dxa"/>
            <w:tcBorders>
              <w:top w:val="single" w:color="auto" w:sz="4" w:space="0"/>
              <w:left w:val="single" w:color="auto" w:sz="4" w:space="0"/>
              <w:bottom w:val="single" w:color="auto" w:sz="4" w:space="0"/>
              <w:right w:val="single" w:color="auto" w:sz="4" w:space="0"/>
            </w:tcBorders>
          </w:tcPr>
          <w:p>
            <w:pPr>
              <w:ind w:firstLine="6"/>
              <w:rPr>
                <w:spacing w:val="-4"/>
                <w:highlight w:val="white"/>
              </w:rPr>
            </w:pPr>
            <w:r>
              <w:rPr>
                <w:spacing w:val="-4"/>
                <w:highlight w:val="white"/>
              </w:rPr>
              <w:t xml:space="preserve">Индекс физического объема платных услуг населению</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процентов к уровню </w:t>
            </w:r>
            <w:r>
              <w:rPr>
                <w:highlight w:val="white"/>
              </w:rPr>
              <w:t xml:space="preserve">предыду-щего</w:t>
            </w:r>
            <w:r>
              <w:rPr>
                <w:highlight w:val="white"/>
              </w:rPr>
              <w:t xml:space="preserve"> года в </w:t>
            </w:r>
            <w:r>
              <w:rPr>
                <w:highlight w:val="white"/>
              </w:rPr>
              <w:t xml:space="preserve">сопостави-мых</w:t>
            </w:r>
            <w:r>
              <w:rPr>
                <w:highlight w:val="white"/>
              </w:rPr>
              <w:t xml:space="preserve"> ценах</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103,6</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104</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102,3</w:t>
            </w:r>
          </w:p>
        </w:tc>
        <w:tc>
          <w:tcPr>
            <w:tcW w:w="1444" w:type="dxa"/>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103</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102,3</w:t>
            </w:r>
          </w:p>
        </w:tc>
        <w:tc>
          <w:tcPr>
            <w:tcW w:w="1673" w:type="dxa"/>
            <w:gridSpan w:val="2"/>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102,8</w:t>
            </w:r>
          </w:p>
        </w:tc>
        <w:tc>
          <w:tcPr>
            <w:tcW w:w="1729" w:type="dxa"/>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102,3</w:t>
            </w:r>
          </w:p>
        </w:tc>
        <w:tc>
          <w:tcPr>
            <w:tcW w:w="1390" w:type="dxa"/>
            <w:gridSpan w:val="2"/>
            <w:tcBorders>
              <w:top w:val="single" w:color="auto" w:sz="4" w:space="0"/>
              <w:left w:val="single" w:color="auto" w:sz="4" w:space="0"/>
              <w:bottom w:val="single" w:color="auto" w:sz="4" w:space="0"/>
              <w:right w:val="single" w:color="auto" w:sz="4" w:space="0"/>
            </w:tcBorders>
            <w:vAlign w:val="center"/>
          </w:tcPr>
          <w:p>
            <w:pPr>
              <w:jc w:val="center"/>
              <w:rPr>
                <w:highlight w:val="white"/>
              </w:rPr>
            </w:pPr>
            <w:r>
              <w:rPr>
                <w:highlight w:val="white"/>
              </w:rPr>
              <w:t xml:space="preserve">102,8</w:t>
            </w:r>
          </w:p>
        </w:tc>
      </w:tr>
      <w:tr>
        <w:tc>
          <w:tcPr>
            <w:tcW w:w="16020" w:type="dxa"/>
            <w:gridSpan w:val="14"/>
            <w:tcBorders>
              <w:top w:val="single" w:color="auto" w:sz="4" w:space="0"/>
              <w:left w:val="single" w:color="auto" w:sz="4" w:space="0"/>
              <w:bottom w:val="single" w:color="auto" w:sz="4" w:space="0"/>
              <w:right w:val="single" w:color="auto" w:sz="4" w:space="0"/>
            </w:tcBorders>
          </w:tcPr>
          <w:p>
            <w:pPr>
              <w:ind w:left="-108" w:right="-108"/>
              <w:jc w:val="center"/>
              <w:rPr>
                <w:sz w:val="19"/>
                <w:szCs w:val="19"/>
                <w:highlight w:val="white"/>
              </w:rPr>
            </w:pPr>
            <w:r>
              <w:rPr>
                <w:spacing w:val="-4"/>
                <w:highlight w:val="white"/>
              </w:rPr>
              <w:t xml:space="preserve">Финансы </w:t>
            </w:r>
          </w:p>
        </w:tc>
      </w:tr>
      <w:tr>
        <w:tc>
          <w:tcPr>
            <w:tcW w:w="539" w:type="dxa"/>
            <w:tcBorders>
              <w:top w:val="single" w:color="auto" w:sz="4" w:space="0"/>
              <w:left w:val="single" w:color="auto" w:sz="4" w:space="0"/>
              <w:bottom w:val="single" w:color="auto" w:sz="4" w:space="0"/>
              <w:right w:val="single" w:color="auto" w:sz="4" w:space="0"/>
            </w:tcBorders>
          </w:tcPr>
          <w:p>
            <w:pPr>
              <w:ind w:firstLine="6"/>
              <w:rPr>
                <w:spacing w:val="-4"/>
                <w:highlight w:val="white"/>
              </w:rPr>
            </w:pPr>
            <w:r>
              <w:rPr>
                <w:spacing w:val="-4"/>
                <w:highlight w:val="white"/>
              </w:rPr>
              <w:t xml:space="preserve">23.</w:t>
            </w:r>
          </w:p>
        </w:tc>
        <w:tc>
          <w:tcPr>
            <w:tcW w:w="1589" w:type="dxa"/>
            <w:tcBorders>
              <w:top w:val="single" w:color="auto" w:sz="4" w:space="0"/>
              <w:left w:val="single" w:color="auto" w:sz="4" w:space="0"/>
              <w:bottom w:val="single" w:color="auto" w:sz="4" w:space="0"/>
              <w:right w:val="single" w:color="auto" w:sz="4" w:space="0"/>
            </w:tcBorders>
          </w:tcPr>
          <w:p>
            <w:pPr>
              <w:ind w:firstLine="6"/>
              <w:rPr>
                <w:spacing w:val="-4"/>
                <w:highlight w:val="white"/>
              </w:rPr>
            </w:pPr>
            <w:r>
              <w:rPr>
                <w:spacing w:val="-4"/>
                <w:highlight w:val="white"/>
              </w:rPr>
              <w:t xml:space="preserve">Прибыль прибыльных организаций</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млн. </w:t>
            </w:r>
          </w:p>
          <w:p>
            <w:pPr>
              <w:jc w:val="center"/>
              <w:rPr>
                <w:highlight w:val="white"/>
              </w:rPr>
            </w:pPr>
            <w:r>
              <w:rPr>
                <w:highlight w:val="white"/>
              </w:rPr>
              <w:t xml:space="preserve">рублей</w:t>
            </w:r>
          </w:p>
        </w:tc>
        <w:tc>
          <w:tcPr>
            <w:tcW w:w="1417" w:type="dxa"/>
            <w:tcBorders>
              <w:top w:val="single" w:color="auto" w:sz="4" w:space="0"/>
              <w:left w:val="single" w:color="auto" w:sz="4" w:space="0"/>
              <w:bottom w:val="single" w:color="auto" w:sz="4" w:space="0"/>
              <w:right w:val="single" w:color="auto" w:sz="4" w:space="0"/>
            </w:tcBorders>
          </w:tcPr>
          <w:p>
            <w:pPr>
              <w:jc w:val="center"/>
              <w:rPr>
                <w:rFonts w:ascii="Tinos" w:hAnsi="Tinos" w:cs="Tinos"/>
                <w:highlight w:val="white"/>
              </w:rPr>
            </w:pPr>
            <w:r>
              <w:rPr>
                <w:rFonts w:ascii="Tinos" w:hAnsi="Tinos" w:eastAsia="Tinos" w:cs="Tinos"/>
                <w:color w:val="000000"/>
                <w:highlight w:val="white"/>
              </w:rPr>
              <w:t xml:space="preserve">262 426,2</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Tinos" w:hAnsi="Tinos" w:eastAsia="Tinos" w:cs="Tinos"/>
                <w:color w:val="000000"/>
                <w:highlight w:val="white"/>
              </w:rPr>
            </w:pPr>
            <w:r>
              <w:rPr>
                <w:rFonts w:ascii="Tinos" w:hAnsi="Tinos" w:eastAsia="Tinos" w:cs="Tinos"/>
                <w:color w:val="000000"/>
                <w:highlight w:val="white"/>
              </w:rPr>
              <w:t xml:space="preserve">226 211,4</w:t>
            </w:r>
          </w:p>
        </w:tc>
        <w:tc>
          <w:tcPr>
            <w:tcW w:w="1701" w:type="dxa"/>
            <w:tcBorders>
              <w:top w:val="single" w:color="auto" w:sz="4" w:space="0"/>
              <w:left w:val="single" w:color="auto" w:sz="4" w:space="0"/>
              <w:bottom w:val="single" w:color="auto" w:sz="4" w:space="0"/>
              <w:right w:val="single" w:color="auto" w:sz="4" w:space="0"/>
            </w:tcBorders>
          </w:tcPr>
          <w:p>
            <w:pPr>
              <w:jc w:val="center"/>
              <w:rPr>
                <w:rFonts w:ascii="Tinos" w:hAnsi="Tinos" w:eastAsia="Tinos" w:cs="Tinos"/>
                <w:color w:val="000000"/>
                <w:highlight w:val="white"/>
              </w:rPr>
            </w:pPr>
            <w:r>
              <w:rPr>
                <w:rFonts w:ascii="Tinos" w:hAnsi="Tinos" w:eastAsia="Tinos" w:cs="Tinos"/>
                <w:color w:val="000000"/>
                <w:highlight w:val="white"/>
              </w:rPr>
              <w:t xml:space="preserve">223 270,6</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rFonts w:ascii="Tinos" w:hAnsi="Tinos" w:eastAsia="Tinos" w:cs="Tinos"/>
                <w:color w:val="000000"/>
                <w:highlight w:val="white"/>
              </w:rPr>
            </w:pPr>
            <w:r>
              <w:rPr>
                <w:rFonts w:ascii="Tinos" w:hAnsi="Tinos" w:eastAsia="Tinos" w:cs="Tinos"/>
                <w:color w:val="000000"/>
                <w:highlight w:val="white"/>
              </w:rPr>
              <w:t xml:space="preserve">229 604,6</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rFonts w:ascii="Tinos" w:hAnsi="Tinos" w:eastAsia="Tinos" w:cs="Tinos"/>
                <w:color w:val="000000"/>
                <w:highlight w:val="white"/>
              </w:rPr>
            </w:pPr>
            <w:r>
              <w:rPr>
                <w:rFonts w:ascii="Tinos" w:hAnsi="Tinos" w:eastAsia="Tinos" w:cs="Tinos"/>
                <w:color w:val="000000"/>
                <w:highlight w:val="white"/>
              </w:rPr>
              <w:t xml:space="preserve">227 066,2</w:t>
            </w:r>
          </w:p>
        </w:tc>
        <w:tc>
          <w:tcPr>
            <w:tcW w:w="1644" w:type="dxa"/>
            <w:tcBorders>
              <w:top w:val="single" w:color="auto" w:sz="4" w:space="0"/>
              <w:left w:val="single" w:color="auto" w:sz="4" w:space="0"/>
              <w:bottom w:val="single" w:color="auto" w:sz="4" w:space="0"/>
              <w:right w:val="single" w:color="auto" w:sz="4" w:space="0"/>
            </w:tcBorders>
          </w:tcPr>
          <w:p>
            <w:pPr>
              <w:jc w:val="center"/>
              <w:rPr>
                <w:rFonts w:ascii="Tinos" w:hAnsi="Tinos" w:eastAsia="Tinos" w:cs="Tinos"/>
                <w:color w:val="000000"/>
                <w:highlight w:val="white"/>
              </w:rPr>
            </w:pPr>
            <w:r>
              <w:rPr>
                <w:rFonts w:ascii="Tinos" w:hAnsi="Tinos" w:eastAsia="Tinos" w:cs="Tinos"/>
                <w:color w:val="000000"/>
                <w:highlight w:val="white"/>
              </w:rPr>
              <w:t xml:space="preserve">240 625,6</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rFonts w:ascii="Tinos" w:hAnsi="Tinos" w:eastAsia="Tinos" w:cs="Tinos"/>
                <w:color w:val="000000"/>
                <w:highlight w:val="white"/>
              </w:rPr>
            </w:pPr>
            <w:r>
              <w:rPr>
                <w:rFonts w:ascii="Tinos" w:hAnsi="Tinos" w:eastAsia="Tinos" w:cs="Tinos"/>
                <w:color w:val="000000"/>
                <w:highlight w:val="white"/>
              </w:rPr>
              <w:t xml:space="preserve">237 965,4</w:t>
            </w:r>
          </w:p>
        </w:tc>
        <w:tc>
          <w:tcPr>
            <w:tcW w:w="1361" w:type="dxa"/>
            <w:tcBorders>
              <w:top w:val="single" w:color="auto" w:sz="4" w:space="0"/>
              <w:left w:val="single" w:color="auto" w:sz="4" w:space="0"/>
              <w:bottom w:val="single" w:color="auto" w:sz="4" w:space="0"/>
              <w:right w:val="single" w:color="auto" w:sz="4" w:space="0"/>
            </w:tcBorders>
          </w:tcPr>
          <w:p>
            <w:pPr>
              <w:jc w:val="center"/>
              <w:rPr>
                <w:rFonts w:ascii="Tinos" w:hAnsi="Tinos" w:eastAsia="Tinos" w:cs="Tinos"/>
                <w:color w:val="000000"/>
                <w:highlight w:val="white"/>
              </w:rPr>
            </w:pPr>
            <w:r>
              <w:rPr>
                <w:rFonts w:ascii="Tinos" w:hAnsi="Tinos" w:eastAsia="Tinos" w:cs="Tinos"/>
                <w:color w:val="000000"/>
                <w:highlight w:val="white"/>
              </w:rPr>
              <w:t xml:space="preserve">259 635,0</w:t>
            </w:r>
          </w:p>
        </w:tc>
      </w:tr>
      <w:tr>
        <w:tc>
          <w:tcPr>
            <w:tcW w:w="539" w:type="dxa"/>
            <w:tcBorders>
              <w:top w:val="single" w:color="auto" w:sz="4" w:space="0"/>
              <w:left w:val="single" w:color="auto" w:sz="4" w:space="0"/>
              <w:bottom w:val="single" w:color="auto" w:sz="4" w:space="0"/>
              <w:right w:val="single" w:color="auto" w:sz="4" w:space="0"/>
            </w:tcBorders>
          </w:tcPr>
          <w:p>
            <w:pPr>
              <w:ind w:firstLine="6"/>
              <w:rPr>
                <w:spacing w:val="-4"/>
                <w:highlight w:val="white"/>
              </w:rPr>
            </w:pPr>
            <w:r>
              <w:rPr>
                <w:spacing w:val="-4"/>
                <w:highlight w:val="white"/>
              </w:rPr>
              <w:t xml:space="preserve">24.</w:t>
            </w:r>
          </w:p>
        </w:tc>
        <w:tc>
          <w:tcPr>
            <w:tcW w:w="1589" w:type="dxa"/>
            <w:tcBorders>
              <w:top w:val="single" w:color="auto" w:sz="4" w:space="0"/>
              <w:left w:val="single" w:color="auto" w:sz="4" w:space="0"/>
              <w:bottom w:val="single" w:color="auto" w:sz="4" w:space="0"/>
              <w:right w:val="single" w:color="auto" w:sz="4" w:space="0"/>
            </w:tcBorders>
          </w:tcPr>
          <w:p>
            <w:pPr>
              <w:ind w:firstLine="6"/>
              <w:rPr>
                <w:spacing w:val="-4"/>
                <w:highlight w:val="white"/>
              </w:rPr>
            </w:pPr>
            <w:r>
              <w:rPr>
                <w:spacing w:val="-4"/>
                <w:highlight w:val="white"/>
              </w:rPr>
              <w:t xml:space="preserve">Темп роста прибыли прибыльных организаций</w:t>
            </w:r>
          </w:p>
        </w:tc>
        <w:tc>
          <w:tcPr>
            <w:tcW w:w="1418" w:type="dxa"/>
            <w:tcBorders>
              <w:top w:val="single" w:color="auto" w:sz="4" w:space="0"/>
              <w:left w:val="single" w:color="auto" w:sz="4" w:space="0"/>
              <w:bottom w:val="single" w:color="auto" w:sz="4" w:space="0"/>
              <w:right w:val="single" w:color="auto" w:sz="4" w:space="0"/>
            </w:tcBorders>
          </w:tcPr>
          <w:p>
            <w:pPr>
              <w:ind w:left="-57" w:right="-57"/>
              <w:jc w:val="center"/>
              <w:rPr>
                <w:highlight w:val="white"/>
              </w:rPr>
            </w:pPr>
            <w:r>
              <w:rPr>
                <w:highlight w:val="white"/>
              </w:rPr>
              <w:t xml:space="preserve">процентов к уровню </w:t>
            </w:r>
            <w:r>
              <w:rPr>
                <w:highlight w:val="white"/>
              </w:rPr>
              <w:t xml:space="preserve">предыду-щего</w:t>
            </w:r>
            <w:r>
              <w:rPr>
                <w:highlight w:val="white"/>
              </w:rPr>
              <w:t xml:space="preserve"> года</w:t>
            </w:r>
          </w:p>
        </w:tc>
        <w:tc>
          <w:tcPr>
            <w:tcW w:w="1417" w:type="dxa"/>
            <w:tcBorders>
              <w:top w:val="single" w:color="auto" w:sz="4" w:space="0"/>
              <w:left w:val="single" w:color="auto" w:sz="4" w:space="0"/>
              <w:bottom w:val="single" w:color="auto" w:sz="4" w:space="0"/>
              <w:right w:val="single" w:color="auto" w:sz="4" w:space="0"/>
            </w:tcBorders>
          </w:tcPr>
          <w:p>
            <w:pPr>
              <w:jc w:val="center"/>
              <w:rPr>
                <w:rFonts w:ascii="Tinos" w:hAnsi="Tinos" w:cs="Tinos"/>
                <w:highlight w:val="yellow"/>
              </w:rPr>
            </w:pPr>
            <w:r>
              <w:rPr>
                <w:rFonts w:ascii="Tinos" w:hAnsi="Tinos" w:eastAsia="Tinos" w:cs="Tinos"/>
                <w:color w:val="000000"/>
                <w:highlight w:val="white"/>
              </w:rPr>
              <w:t xml:space="preserve">108,9</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Tinos" w:hAnsi="Tinos" w:eastAsia="Tinos" w:cs="Tinos"/>
                <w:color w:val="000000"/>
                <w:highlight w:val="white"/>
              </w:rPr>
            </w:pPr>
            <w:r>
              <w:rPr>
                <w:rFonts w:ascii="Tinos" w:hAnsi="Tinos" w:eastAsia="Tinos" w:cs="Tinos"/>
                <w:color w:val="000000"/>
                <w:highlight w:val="white"/>
              </w:rPr>
              <w:t xml:space="preserve">86,2</w:t>
            </w:r>
          </w:p>
        </w:tc>
        <w:tc>
          <w:tcPr>
            <w:tcW w:w="1701" w:type="dxa"/>
            <w:tcBorders>
              <w:top w:val="single" w:color="auto" w:sz="4" w:space="0"/>
              <w:left w:val="single" w:color="auto" w:sz="4" w:space="0"/>
              <w:bottom w:val="single" w:color="auto" w:sz="4" w:space="0"/>
              <w:right w:val="single" w:color="auto" w:sz="4" w:space="0"/>
            </w:tcBorders>
          </w:tcPr>
          <w:p>
            <w:pPr>
              <w:jc w:val="center"/>
              <w:rPr>
                <w:rFonts w:ascii="Tinos" w:hAnsi="Tinos" w:eastAsia="Tinos" w:cs="Tinos"/>
                <w:color w:val="000000"/>
                <w:highlight w:val="white"/>
              </w:rPr>
            </w:pPr>
            <w:r>
              <w:rPr>
                <w:rFonts w:ascii="Tinos" w:hAnsi="Tinos" w:eastAsia="Tinos" w:cs="Tinos"/>
                <w:color w:val="000000"/>
                <w:highlight w:val="white"/>
              </w:rPr>
              <w:t xml:space="preserve">98,7</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rFonts w:ascii="Tinos" w:hAnsi="Tinos" w:eastAsia="Tinos" w:cs="Tinos"/>
                <w:color w:val="000000"/>
                <w:highlight w:val="white"/>
              </w:rPr>
            </w:pPr>
            <w:r>
              <w:rPr>
                <w:rFonts w:ascii="Tinos" w:hAnsi="Tinos" w:eastAsia="Tinos" w:cs="Tinos"/>
                <w:color w:val="000000"/>
                <w:highlight w:val="white"/>
              </w:rPr>
              <w:t xml:space="preserve">101,5</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rFonts w:ascii="Tinos" w:hAnsi="Tinos" w:eastAsia="Tinos" w:cs="Tinos"/>
                <w:color w:val="000000"/>
                <w:highlight w:val="white"/>
              </w:rPr>
            </w:pPr>
            <w:r>
              <w:rPr>
                <w:rFonts w:ascii="Tinos" w:hAnsi="Tinos" w:eastAsia="Tinos" w:cs="Tinos"/>
                <w:color w:val="000000"/>
                <w:highlight w:val="white"/>
              </w:rPr>
              <w:t xml:space="preserve">101,7</w:t>
            </w:r>
          </w:p>
        </w:tc>
        <w:tc>
          <w:tcPr>
            <w:tcW w:w="1644" w:type="dxa"/>
            <w:tcBorders>
              <w:top w:val="single" w:color="auto" w:sz="4" w:space="0"/>
              <w:left w:val="single" w:color="auto" w:sz="4" w:space="0"/>
              <w:bottom w:val="single" w:color="auto" w:sz="4" w:space="0"/>
              <w:right w:val="single" w:color="auto" w:sz="4" w:space="0"/>
            </w:tcBorders>
          </w:tcPr>
          <w:p>
            <w:pPr>
              <w:jc w:val="center"/>
              <w:rPr>
                <w:rFonts w:ascii="Tinos" w:hAnsi="Tinos" w:eastAsia="Tinos" w:cs="Tinos"/>
                <w:color w:val="000000"/>
                <w:highlight w:val="white"/>
              </w:rPr>
            </w:pPr>
            <w:r>
              <w:rPr>
                <w:rFonts w:ascii="Tinos" w:hAnsi="Tinos" w:eastAsia="Tinos" w:cs="Tinos"/>
                <w:color w:val="000000"/>
                <w:highlight w:val="white"/>
              </w:rPr>
              <w:t xml:space="preserve">104,8</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rFonts w:ascii="Tinos" w:hAnsi="Tinos" w:eastAsia="Tinos" w:cs="Tinos"/>
                <w:color w:val="000000"/>
                <w:highlight w:val="white"/>
              </w:rPr>
            </w:pPr>
            <w:r>
              <w:rPr>
                <w:rFonts w:ascii="Tinos" w:hAnsi="Tinos" w:eastAsia="Tinos" w:cs="Tinos"/>
                <w:color w:val="000000"/>
                <w:highlight w:val="white"/>
              </w:rPr>
              <w:t xml:space="preserve">104,8</w:t>
            </w:r>
          </w:p>
        </w:tc>
        <w:tc>
          <w:tcPr>
            <w:tcW w:w="1361" w:type="dxa"/>
            <w:tcBorders>
              <w:top w:val="single" w:color="auto" w:sz="4" w:space="0"/>
              <w:left w:val="single" w:color="auto" w:sz="4" w:space="0"/>
              <w:bottom w:val="single" w:color="auto" w:sz="4" w:space="0"/>
              <w:right w:val="single" w:color="auto" w:sz="4" w:space="0"/>
            </w:tcBorders>
          </w:tcPr>
          <w:p>
            <w:pPr>
              <w:jc w:val="center"/>
              <w:rPr>
                <w:rFonts w:ascii="Tinos" w:hAnsi="Tinos" w:eastAsia="Tinos" w:cs="Tinos"/>
                <w:color w:val="000000"/>
                <w:highlight w:val="white"/>
              </w:rPr>
            </w:pPr>
            <w:r>
              <w:rPr>
                <w:rFonts w:ascii="Tinos" w:hAnsi="Tinos" w:eastAsia="Tinos" w:cs="Tinos"/>
                <w:color w:val="000000"/>
                <w:highlight w:val="white"/>
              </w:rPr>
              <w:t xml:space="preserve">107,9</w:t>
            </w:r>
          </w:p>
        </w:tc>
      </w:tr>
      <w:tr>
        <w:trPr>
          <w:trHeight w:val="130"/>
        </w:trPr>
        <w:tc>
          <w:tcPr>
            <w:tcW w:w="16020" w:type="dxa"/>
            <w:gridSpan w:val="14"/>
            <w:tcBorders>
              <w:top w:val="single" w:color="auto" w:sz="4" w:space="0"/>
              <w:left w:val="single" w:color="auto" w:sz="4" w:space="0"/>
              <w:bottom w:val="single" w:color="auto" w:sz="4" w:space="0"/>
              <w:right w:val="single" w:color="auto" w:sz="4" w:space="0"/>
            </w:tcBorders>
          </w:tcPr>
          <w:p>
            <w:pPr>
              <w:ind w:left="-108" w:right="-108"/>
              <w:jc w:val="center"/>
              <w:rPr>
                <w:sz w:val="19"/>
                <w:szCs w:val="19"/>
                <w:highlight w:val="white"/>
              </w:rPr>
            </w:pPr>
            <w:r>
              <w:rPr>
                <w:spacing w:val="-4"/>
                <w:highlight w:val="white"/>
              </w:rPr>
              <w:t xml:space="preserve">Труд и занятость</w:t>
            </w:r>
          </w:p>
        </w:tc>
      </w:tr>
      <w:tr>
        <w:tc>
          <w:tcPr>
            <w:tcW w:w="53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25.</w:t>
            </w:r>
          </w:p>
        </w:tc>
        <w:tc>
          <w:tcPr>
            <w:tcW w:w="158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Численность рабочей силы</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тыс.</w:t>
            </w:r>
          </w:p>
          <w:p>
            <w:pPr>
              <w:jc w:val="center"/>
              <w:rPr>
                <w:highlight w:val="white"/>
              </w:rPr>
            </w:pPr>
            <w:r>
              <w:rPr>
                <w:highlight w:val="white"/>
              </w:rPr>
              <w:t xml:space="preserve">человек</w:t>
            </w:r>
          </w:p>
        </w:tc>
        <w:tc>
          <w:tcPr>
            <w:tcW w:w="1417"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959,0</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954,0</w:t>
            </w:r>
          </w:p>
        </w:tc>
        <w:tc>
          <w:tcPr>
            <w:tcW w:w="170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954,0</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954,1</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954,6</w:t>
            </w:r>
          </w:p>
        </w:tc>
        <w:tc>
          <w:tcPr>
            <w:tcW w:w="1644"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954,7</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955,0</w:t>
            </w:r>
          </w:p>
        </w:tc>
        <w:tc>
          <w:tcPr>
            <w:tcW w:w="136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955,1</w:t>
            </w:r>
          </w:p>
        </w:tc>
      </w:tr>
      <w:tr>
        <w:tc>
          <w:tcPr>
            <w:tcW w:w="539" w:type="dxa"/>
            <w:tcBorders>
              <w:top w:val="single" w:color="auto" w:sz="4" w:space="0"/>
              <w:left w:val="single" w:color="auto" w:sz="4" w:space="0"/>
              <w:bottom w:val="single" w:color="auto" w:sz="4" w:space="0"/>
              <w:right w:val="single" w:color="auto" w:sz="4" w:space="0"/>
            </w:tcBorders>
          </w:tcPr>
          <w:p>
            <w:pPr>
              <w:rPr>
                <w:bCs/>
                <w:spacing w:val="-4"/>
                <w:highlight w:val="white"/>
              </w:rPr>
            </w:pPr>
            <w:r>
              <w:rPr>
                <w:bCs/>
                <w:spacing w:val="-4"/>
                <w:highlight w:val="white"/>
              </w:rPr>
              <w:t xml:space="preserve">26.</w:t>
            </w:r>
          </w:p>
        </w:tc>
        <w:tc>
          <w:tcPr>
            <w:tcW w:w="1589" w:type="dxa"/>
            <w:tcBorders>
              <w:top w:val="single" w:color="auto" w:sz="4" w:space="0"/>
              <w:left w:val="single" w:color="auto" w:sz="4" w:space="0"/>
              <w:bottom w:val="single" w:color="auto" w:sz="4" w:space="0"/>
              <w:right w:val="single" w:color="auto" w:sz="4" w:space="0"/>
            </w:tcBorders>
          </w:tcPr>
          <w:p>
            <w:pPr>
              <w:rPr>
                <w:highlight w:val="white"/>
              </w:rPr>
            </w:pPr>
            <w:r>
              <w:rPr>
                <w:bCs/>
                <w:spacing w:val="-4"/>
                <w:highlight w:val="white"/>
              </w:rPr>
              <w:t xml:space="preserve">Численность занятых в экономике </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тыс.</w:t>
            </w:r>
          </w:p>
          <w:p>
            <w:pPr>
              <w:jc w:val="center"/>
              <w:rPr>
                <w:highlight w:val="white"/>
              </w:rPr>
            </w:pPr>
            <w:r>
              <w:rPr>
                <w:highlight w:val="white"/>
              </w:rPr>
              <w:t xml:space="preserve">человек</w:t>
            </w:r>
          </w:p>
        </w:tc>
        <w:tc>
          <w:tcPr>
            <w:tcW w:w="1417"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866,2</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866,1</w:t>
            </w:r>
          </w:p>
        </w:tc>
        <w:tc>
          <w:tcPr>
            <w:tcW w:w="170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864,9</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866,3</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865,1</w:t>
            </w:r>
          </w:p>
        </w:tc>
        <w:tc>
          <w:tcPr>
            <w:tcW w:w="1644"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866,6</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865,3</w:t>
            </w:r>
          </w:p>
        </w:tc>
        <w:tc>
          <w:tcPr>
            <w:tcW w:w="136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866,8</w:t>
            </w:r>
          </w:p>
        </w:tc>
      </w:tr>
      <w:tr>
        <w:tc>
          <w:tcPr>
            <w:tcW w:w="53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27.</w:t>
            </w:r>
          </w:p>
        </w:tc>
        <w:tc>
          <w:tcPr>
            <w:tcW w:w="158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Численность безработных, </w:t>
            </w:r>
            <w:r>
              <w:rPr>
                <w:spacing w:val="-4"/>
                <w:highlight w:val="white"/>
              </w:rPr>
              <w:t xml:space="preserve">зарегистри-рованных</w:t>
            </w:r>
            <w:r>
              <w:rPr>
                <w:spacing w:val="-4"/>
                <w:highlight w:val="white"/>
              </w:rPr>
              <w:t xml:space="preserve"> в  </w:t>
            </w:r>
            <w:r>
              <w:rPr>
                <w:spacing w:val="-4"/>
                <w:highlight w:val="white"/>
              </w:rPr>
              <w:t xml:space="preserve">государст</w:t>
            </w:r>
            <w:r>
              <w:rPr>
                <w:spacing w:val="-4"/>
                <w:highlight w:val="white"/>
              </w:rPr>
              <w:t xml:space="preserve">-венных учреждениях службы занятости населения (на конец года)</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тыс.</w:t>
            </w:r>
          </w:p>
          <w:p>
            <w:pPr>
              <w:jc w:val="center"/>
              <w:rPr>
                <w:highlight w:val="white"/>
              </w:rPr>
            </w:pPr>
            <w:r>
              <w:rPr>
                <w:highlight w:val="white"/>
              </w:rPr>
              <w:t xml:space="preserve">человек</w:t>
            </w:r>
          </w:p>
        </w:tc>
        <w:tc>
          <w:tcPr>
            <w:tcW w:w="1417"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5,4</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5,6</w:t>
            </w:r>
          </w:p>
        </w:tc>
        <w:tc>
          <w:tcPr>
            <w:tcW w:w="170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5,6</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5,5</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5,6</w:t>
            </w:r>
          </w:p>
        </w:tc>
        <w:tc>
          <w:tcPr>
            <w:tcW w:w="1644"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5,5</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5,6</w:t>
            </w:r>
          </w:p>
        </w:tc>
        <w:tc>
          <w:tcPr>
            <w:tcW w:w="136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5,5</w:t>
            </w:r>
          </w:p>
        </w:tc>
      </w:tr>
      <w:tr>
        <w:tc>
          <w:tcPr>
            <w:tcW w:w="53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28. </w:t>
            </w:r>
          </w:p>
        </w:tc>
        <w:tc>
          <w:tcPr>
            <w:tcW w:w="1589" w:type="dxa"/>
            <w:tcBorders>
              <w:top w:val="single" w:color="auto" w:sz="4" w:space="0"/>
              <w:left w:val="single" w:color="auto" w:sz="4" w:space="0"/>
              <w:bottom w:val="single" w:color="auto" w:sz="4" w:space="0"/>
              <w:right w:val="single" w:color="auto" w:sz="4" w:space="0"/>
            </w:tcBorders>
          </w:tcPr>
          <w:p>
            <w:pPr>
              <w:rPr>
                <w:highlight w:val="white"/>
              </w:rPr>
            </w:pPr>
            <w:r>
              <w:rPr>
                <w:spacing w:val="-4"/>
                <w:highlight w:val="white"/>
              </w:rPr>
              <w:t xml:space="preserve">Уровень зарегистрированной безработицы  (на конец года)</w:t>
            </w:r>
          </w:p>
        </w:tc>
        <w:tc>
          <w:tcPr>
            <w:tcW w:w="1418" w:type="dxa"/>
            <w:tcBorders>
              <w:top w:val="single" w:color="auto" w:sz="4" w:space="0"/>
              <w:left w:val="single" w:color="auto" w:sz="4" w:space="0"/>
              <w:bottom w:val="single" w:color="auto" w:sz="4" w:space="0"/>
              <w:right w:val="single" w:color="auto" w:sz="4" w:space="0"/>
            </w:tcBorders>
          </w:tcPr>
          <w:p>
            <w:pPr>
              <w:spacing w:line="230" w:lineRule="auto"/>
              <w:jc w:val="center"/>
              <w:rPr>
                <w:highlight w:val="white"/>
              </w:rPr>
            </w:pPr>
            <w:r>
              <w:rPr>
                <w:highlight w:val="white"/>
              </w:rPr>
              <w:t xml:space="preserve">процентов</w:t>
            </w:r>
          </w:p>
        </w:tc>
        <w:tc>
          <w:tcPr>
            <w:tcW w:w="1417"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0,6</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0,6</w:t>
            </w:r>
          </w:p>
        </w:tc>
        <w:tc>
          <w:tcPr>
            <w:tcW w:w="170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0,6</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0,6</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0,6</w:t>
            </w:r>
          </w:p>
        </w:tc>
        <w:tc>
          <w:tcPr>
            <w:tcW w:w="1644"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0,6</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0,6</w:t>
            </w:r>
          </w:p>
        </w:tc>
        <w:tc>
          <w:tcPr>
            <w:tcW w:w="136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0,6</w:t>
            </w:r>
          </w:p>
        </w:tc>
      </w:tr>
      <w:tr>
        <w:tc>
          <w:tcPr>
            <w:tcW w:w="539" w:type="dxa"/>
            <w:tcBorders>
              <w:top w:val="single" w:color="auto" w:sz="4" w:space="0"/>
              <w:left w:val="single" w:color="auto" w:sz="4" w:space="0"/>
              <w:bottom w:val="single" w:color="auto" w:sz="4" w:space="0"/>
              <w:right w:val="single" w:color="auto" w:sz="4" w:space="0"/>
            </w:tcBorders>
          </w:tcPr>
          <w:p>
            <w:pPr>
              <w:spacing w:line="230" w:lineRule="auto"/>
              <w:rPr>
                <w:spacing w:val="-4"/>
                <w:highlight w:val="white"/>
              </w:rPr>
            </w:pPr>
            <w:r>
              <w:rPr>
                <w:spacing w:val="-4"/>
                <w:highlight w:val="white"/>
              </w:rPr>
              <w:t xml:space="preserve">29.</w:t>
            </w:r>
          </w:p>
        </w:tc>
        <w:tc>
          <w:tcPr>
            <w:tcW w:w="1589" w:type="dxa"/>
            <w:tcBorders>
              <w:top w:val="single" w:color="auto" w:sz="4" w:space="0"/>
              <w:left w:val="single" w:color="auto" w:sz="4" w:space="0"/>
              <w:bottom w:val="single" w:color="auto" w:sz="4" w:space="0"/>
              <w:right w:val="single" w:color="auto" w:sz="4" w:space="0"/>
            </w:tcBorders>
          </w:tcPr>
          <w:p>
            <w:pPr>
              <w:spacing w:line="230" w:lineRule="auto"/>
              <w:rPr>
                <w:spacing w:val="-4"/>
                <w:highlight w:val="white"/>
              </w:rPr>
            </w:pPr>
            <w:r>
              <w:rPr>
                <w:spacing w:val="-4"/>
                <w:highlight w:val="white"/>
              </w:rPr>
              <w:t xml:space="preserve">Фонд заработной платы  работников организаций</w:t>
            </w:r>
          </w:p>
        </w:tc>
        <w:tc>
          <w:tcPr>
            <w:tcW w:w="1418" w:type="dxa"/>
            <w:tcBorders>
              <w:top w:val="single" w:color="auto" w:sz="4" w:space="0"/>
              <w:left w:val="single" w:color="auto" w:sz="4" w:space="0"/>
              <w:bottom w:val="single" w:color="auto" w:sz="4" w:space="0"/>
              <w:right w:val="single" w:color="auto" w:sz="4" w:space="0"/>
            </w:tcBorders>
          </w:tcPr>
          <w:p>
            <w:pPr>
              <w:spacing w:line="230" w:lineRule="auto"/>
              <w:jc w:val="center"/>
              <w:rPr>
                <w:highlight w:val="white"/>
              </w:rPr>
            </w:pPr>
            <w:r>
              <w:rPr>
                <w:highlight w:val="white"/>
              </w:rPr>
              <w:t xml:space="preserve">млн.</w:t>
            </w:r>
          </w:p>
          <w:p>
            <w:pPr>
              <w:spacing w:line="230" w:lineRule="auto"/>
              <w:jc w:val="center"/>
              <w:rPr>
                <w:highlight w:val="white"/>
              </w:rPr>
            </w:pPr>
            <w:r>
              <w:rPr>
                <w:highlight w:val="white"/>
              </w:rPr>
              <w:t xml:space="preserve">рублей</w:t>
            </w:r>
          </w:p>
        </w:tc>
        <w:tc>
          <w:tcPr>
            <w:tcW w:w="1417"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365 590,1</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413 133,4</w:t>
            </w:r>
          </w:p>
        </w:tc>
        <w:tc>
          <w:tcPr>
            <w:tcW w:w="170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435 120,5</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444 944,7</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460 792,6</w:t>
            </w:r>
          </w:p>
        </w:tc>
        <w:tc>
          <w:tcPr>
            <w:tcW w:w="1644"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475 645,9</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484 753.8</w:t>
            </w:r>
          </w:p>
        </w:tc>
        <w:tc>
          <w:tcPr>
            <w:tcW w:w="136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500 855,1</w:t>
            </w:r>
          </w:p>
        </w:tc>
      </w:tr>
      <w:tr>
        <w:tc>
          <w:tcPr>
            <w:tcW w:w="539" w:type="dxa"/>
            <w:tcBorders>
              <w:top w:val="single" w:color="auto" w:sz="4" w:space="0"/>
              <w:left w:val="single" w:color="auto" w:sz="4" w:space="0"/>
              <w:bottom w:val="single" w:color="auto" w:sz="4" w:space="0"/>
              <w:right w:val="single" w:color="auto" w:sz="4" w:space="0"/>
            </w:tcBorders>
          </w:tcPr>
          <w:p>
            <w:pPr>
              <w:spacing w:line="230" w:lineRule="auto"/>
              <w:rPr>
                <w:spacing w:val="-4"/>
                <w:highlight w:val="white"/>
              </w:rPr>
            </w:pPr>
            <w:r>
              <w:rPr>
                <w:spacing w:val="-4"/>
                <w:highlight w:val="white"/>
              </w:rPr>
              <w:t xml:space="preserve">30.</w:t>
            </w:r>
          </w:p>
        </w:tc>
        <w:tc>
          <w:tcPr>
            <w:tcW w:w="1589" w:type="dxa"/>
            <w:tcBorders>
              <w:top w:val="single" w:color="auto" w:sz="4" w:space="0"/>
              <w:left w:val="single" w:color="auto" w:sz="4" w:space="0"/>
              <w:bottom w:val="single" w:color="auto" w:sz="4" w:space="0"/>
              <w:right w:val="single" w:color="auto" w:sz="4" w:space="0"/>
            </w:tcBorders>
          </w:tcPr>
          <w:p>
            <w:pPr>
              <w:spacing w:line="230" w:lineRule="auto"/>
              <w:rPr>
                <w:spacing w:val="-4"/>
                <w:highlight w:val="white"/>
              </w:rPr>
            </w:pPr>
            <w:r>
              <w:rPr>
                <w:spacing w:val="-4"/>
                <w:highlight w:val="white"/>
              </w:rPr>
              <w:t xml:space="preserve">Темп роста фонда заработной платы  работников организаций</w:t>
            </w:r>
          </w:p>
        </w:tc>
        <w:tc>
          <w:tcPr>
            <w:tcW w:w="1418" w:type="dxa"/>
            <w:tcBorders>
              <w:top w:val="single" w:color="auto" w:sz="4" w:space="0"/>
              <w:left w:val="single" w:color="auto" w:sz="4" w:space="0"/>
              <w:bottom w:val="single" w:color="auto" w:sz="4" w:space="0"/>
              <w:right w:val="single" w:color="auto" w:sz="4" w:space="0"/>
            </w:tcBorders>
          </w:tcPr>
          <w:p>
            <w:pPr>
              <w:spacing w:line="230" w:lineRule="auto"/>
              <w:jc w:val="center"/>
              <w:rPr>
                <w:highlight w:val="white"/>
              </w:rPr>
            </w:pPr>
            <w:r>
              <w:rPr>
                <w:highlight w:val="white"/>
              </w:rPr>
              <w:t xml:space="preserve">процентов к уровню </w:t>
            </w:r>
            <w:r>
              <w:rPr>
                <w:highlight w:val="white"/>
              </w:rPr>
              <w:t xml:space="preserve">предыду-щего</w:t>
            </w:r>
            <w:r>
              <w:rPr>
                <w:highlight w:val="white"/>
              </w:rPr>
              <w:t xml:space="preserve"> года</w:t>
            </w:r>
          </w:p>
        </w:tc>
        <w:tc>
          <w:tcPr>
            <w:tcW w:w="1417"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116,0</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113,0</w:t>
            </w:r>
          </w:p>
        </w:tc>
        <w:tc>
          <w:tcPr>
            <w:tcW w:w="170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105,3</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107,7</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105,9</w:t>
            </w:r>
          </w:p>
        </w:tc>
        <w:tc>
          <w:tcPr>
            <w:tcW w:w="1644"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106,9</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105,2</w:t>
            </w:r>
          </w:p>
        </w:tc>
        <w:tc>
          <w:tcPr>
            <w:tcW w:w="136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105,3</w:t>
            </w:r>
          </w:p>
        </w:tc>
      </w:tr>
      <w:tr>
        <w:trPr>
          <w:trHeight w:val="870"/>
        </w:trPr>
        <w:tc>
          <w:tcPr>
            <w:tcW w:w="53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31.</w:t>
            </w:r>
          </w:p>
        </w:tc>
        <w:tc>
          <w:tcPr>
            <w:tcW w:w="158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Среднеме-сячная</w:t>
            </w:r>
            <w:r>
              <w:rPr>
                <w:spacing w:val="-4"/>
                <w:highlight w:val="white"/>
              </w:rPr>
              <w:t xml:space="preserve"> номинальная начисленная заработная </w:t>
            </w:r>
            <w:r>
              <w:rPr>
                <w:spacing w:val="-4"/>
                <w:highlight w:val="white"/>
              </w:rPr>
              <w:t xml:space="preserve">плата работников организаций</w:t>
            </w:r>
          </w:p>
        </w:tc>
        <w:tc>
          <w:tcPr>
            <w:tcW w:w="1418" w:type="dxa"/>
            <w:tcBorders>
              <w:top w:val="single" w:color="auto" w:sz="4" w:space="0"/>
              <w:left w:val="single" w:color="auto" w:sz="4" w:space="0"/>
              <w:bottom w:val="single" w:color="auto" w:sz="4" w:space="0"/>
              <w:right w:val="single" w:color="auto" w:sz="4" w:space="0"/>
            </w:tcBorders>
          </w:tcPr>
          <w:p>
            <w:pPr>
              <w:spacing w:line="230" w:lineRule="auto"/>
              <w:jc w:val="center"/>
              <w:rPr>
                <w:highlight w:val="white"/>
              </w:rPr>
            </w:pPr>
            <w:r>
              <w:rPr>
                <w:highlight w:val="white"/>
              </w:rPr>
              <w:t xml:space="preserve">рублей</w:t>
            </w:r>
          </w:p>
        </w:tc>
        <w:tc>
          <w:tcPr>
            <w:tcW w:w="1417"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64 058,7</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74 943,9</w:t>
            </w:r>
          </w:p>
        </w:tc>
        <w:tc>
          <w:tcPr>
            <w:tcW w:w="170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80 264,9</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80 852,0</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85 482,1</w:t>
            </w:r>
          </w:p>
        </w:tc>
        <w:tc>
          <w:tcPr>
            <w:tcW w:w="1644"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87 320,1</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91 038,4</w:t>
            </w:r>
          </w:p>
        </w:tc>
        <w:tc>
          <w:tcPr>
            <w:tcW w:w="136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93 694,5</w:t>
            </w:r>
          </w:p>
        </w:tc>
      </w:tr>
      <w:tr>
        <w:tc>
          <w:tcPr>
            <w:tcW w:w="53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32.</w:t>
            </w:r>
          </w:p>
        </w:tc>
        <w:tc>
          <w:tcPr>
            <w:tcW w:w="1589" w:type="dxa"/>
            <w:tcBorders>
              <w:top w:val="single" w:color="auto" w:sz="4" w:space="0"/>
              <w:left w:val="single" w:color="auto" w:sz="4" w:space="0"/>
              <w:bottom w:val="single" w:color="auto" w:sz="4" w:space="0"/>
              <w:right w:val="single" w:color="auto" w:sz="4" w:space="0"/>
            </w:tcBorders>
          </w:tcPr>
          <w:p>
            <w:pPr>
              <w:ind w:right="-105"/>
              <w:rPr>
                <w:spacing w:val="-4"/>
                <w:highlight w:val="white"/>
              </w:rPr>
            </w:pPr>
            <w:r>
              <w:rPr>
                <w:spacing w:val="-4"/>
                <w:highlight w:val="white"/>
              </w:rPr>
              <w:t xml:space="preserve">Темп роста среднемесячной номинальной начисленной заработной платы работников организаций</w:t>
            </w:r>
          </w:p>
        </w:tc>
        <w:tc>
          <w:tcPr>
            <w:tcW w:w="1418" w:type="dxa"/>
            <w:tcBorders>
              <w:top w:val="single" w:color="auto" w:sz="4" w:space="0"/>
              <w:left w:val="single" w:color="auto" w:sz="4" w:space="0"/>
              <w:bottom w:val="single" w:color="auto" w:sz="4" w:space="0"/>
              <w:right w:val="single" w:color="auto" w:sz="4" w:space="0"/>
            </w:tcBorders>
          </w:tcPr>
          <w:p>
            <w:pPr>
              <w:spacing w:line="230" w:lineRule="auto"/>
              <w:jc w:val="center"/>
              <w:rPr>
                <w:highlight w:val="white"/>
              </w:rPr>
            </w:pPr>
            <w:r>
              <w:rPr>
                <w:highlight w:val="white"/>
              </w:rPr>
              <w:t xml:space="preserve">процентов к уровню </w:t>
            </w:r>
            <w:r>
              <w:rPr>
                <w:highlight w:val="white"/>
              </w:rPr>
              <w:t xml:space="preserve">предыду-щего</w:t>
            </w:r>
            <w:r>
              <w:rPr>
                <w:highlight w:val="white"/>
              </w:rPr>
              <w:t xml:space="preserve"> года</w:t>
            </w:r>
          </w:p>
        </w:tc>
        <w:tc>
          <w:tcPr>
            <w:tcW w:w="1417"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120,6</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117,0</w:t>
            </w:r>
          </w:p>
        </w:tc>
        <w:tc>
          <w:tcPr>
            <w:tcW w:w="170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107,1</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108</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106,5</w:t>
            </w:r>
          </w:p>
        </w:tc>
        <w:tc>
          <w:tcPr>
            <w:tcW w:w="1644"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108,0</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106,5</w:t>
            </w:r>
          </w:p>
        </w:tc>
        <w:tc>
          <w:tcPr>
            <w:tcW w:w="136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107,3</w:t>
            </w:r>
          </w:p>
        </w:tc>
      </w:tr>
      <w:tr>
        <w:tc>
          <w:tcPr>
            <w:tcW w:w="53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33.</w:t>
            </w:r>
          </w:p>
        </w:tc>
        <w:tc>
          <w:tcPr>
            <w:tcW w:w="1589" w:type="dxa"/>
            <w:tcBorders>
              <w:top w:val="single" w:color="auto" w:sz="4" w:space="0"/>
              <w:left w:val="single" w:color="auto" w:sz="4" w:space="0"/>
              <w:bottom w:val="single" w:color="auto" w:sz="4" w:space="0"/>
              <w:right w:val="single" w:color="auto" w:sz="4" w:space="0"/>
            </w:tcBorders>
          </w:tcPr>
          <w:p>
            <w:pPr>
              <w:rPr>
                <w:spacing w:val="-4"/>
              </w:rPr>
            </w:pPr>
            <w:r>
              <w:rPr>
                <w:spacing w:val="-4"/>
                <w:highlight w:val="white"/>
              </w:rPr>
              <w:t xml:space="preserve">Реальная заработная плата работников организаций</w:t>
            </w:r>
          </w:p>
          <w:p>
            <w:pPr>
              <w:rPr>
                <w:spacing w:val="-4"/>
                <w:highlight w:val="white"/>
              </w:rPr>
            </w:pPr>
          </w:p>
        </w:tc>
        <w:tc>
          <w:tcPr>
            <w:tcW w:w="1418" w:type="dxa"/>
            <w:tcBorders>
              <w:top w:val="single" w:color="auto" w:sz="4" w:space="0"/>
              <w:left w:val="single" w:color="auto" w:sz="4" w:space="0"/>
              <w:bottom w:val="single" w:color="auto" w:sz="4" w:space="0"/>
              <w:right w:val="single" w:color="auto" w:sz="4" w:space="0"/>
            </w:tcBorders>
          </w:tcPr>
          <w:p>
            <w:pPr>
              <w:spacing w:line="230" w:lineRule="auto"/>
              <w:jc w:val="center"/>
              <w:rPr>
                <w:highlight w:val="white"/>
              </w:rPr>
            </w:pPr>
            <w:r>
              <w:rPr>
                <w:highlight w:val="white"/>
              </w:rPr>
              <w:t xml:space="preserve">процентов к уровню </w:t>
            </w:r>
            <w:r>
              <w:rPr>
                <w:highlight w:val="white"/>
              </w:rPr>
              <w:t xml:space="preserve">предыду-щего</w:t>
            </w:r>
            <w:r>
              <w:rPr>
                <w:highlight w:val="white"/>
              </w:rPr>
              <w:t xml:space="preserve"> года</w:t>
            </w:r>
          </w:p>
        </w:tc>
        <w:tc>
          <w:tcPr>
            <w:tcW w:w="1417"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111,6</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107,3</w:t>
            </w:r>
          </w:p>
        </w:tc>
        <w:tc>
          <w:tcPr>
            <w:tcW w:w="170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101,9</w:t>
            </w:r>
          </w:p>
          <w:p>
            <w:pPr>
              <w:jc w:val="center"/>
              <w:rPr>
                <w:highlight w:val="white"/>
              </w:rPr>
            </w:pPr>
          </w:p>
        </w:tc>
        <w:tc>
          <w:tcPr>
            <w:tcW w:w="1473"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102,7</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102,4</w:t>
            </w:r>
          </w:p>
        </w:tc>
        <w:tc>
          <w:tcPr>
            <w:tcW w:w="1644"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103,8</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102,4</w:t>
            </w:r>
          </w:p>
        </w:tc>
        <w:tc>
          <w:tcPr>
            <w:tcW w:w="136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103,2</w:t>
            </w:r>
          </w:p>
        </w:tc>
      </w:tr>
      <w:tr>
        <w:tc>
          <w:tcPr>
            <w:tcW w:w="16020" w:type="dxa"/>
            <w:gridSpan w:val="14"/>
            <w:tcBorders>
              <w:top w:val="single" w:color="auto" w:sz="4" w:space="0"/>
              <w:left w:val="single" w:color="auto" w:sz="4" w:space="0"/>
              <w:bottom w:val="single" w:color="auto" w:sz="4" w:space="0"/>
              <w:right w:val="single" w:color="auto" w:sz="4" w:space="0"/>
            </w:tcBorders>
          </w:tcPr>
          <w:p>
            <w:pPr>
              <w:ind w:left="-108" w:right="-108"/>
              <w:jc w:val="center"/>
              <w:rPr>
                <w:sz w:val="19"/>
                <w:szCs w:val="19"/>
                <w:highlight w:val="white"/>
              </w:rPr>
            </w:pPr>
            <w:r>
              <w:rPr>
                <w:spacing w:val="-4"/>
                <w:highlight w:val="white"/>
              </w:rPr>
              <w:t xml:space="preserve">Денежные доходы населения</w:t>
            </w:r>
          </w:p>
        </w:tc>
      </w:tr>
      <w:tr>
        <w:tc>
          <w:tcPr>
            <w:tcW w:w="539" w:type="dxa"/>
            <w:tcBorders>
              <w:top w:val="single" w:color="auto" w:sz="4" w:space="0"/>
              <w:left w:val="single" w:color="auto" w:sz="4" w:space="0"/>
              <w:bottom w:val="single" w:color="auto" w:sz="4" w:space="0"/>
              <w:right w:val="single" w:color="auto" w:sz="4" w:space="0"/>
            </w:tcBorders>
          </w:tcPr>
          <w:p>
            <w:pPr>
              <w:spacing w:line="230" w:lineRule="auto"/>
              <w:rPr>
                <w:spacing w:val="-4"/>
                <w:highlight w:val="white"/>
              </w:rPr>
            </w:pPr>
            <w:r>
              <w:rPr>
                <w:spacing w:val="-4"/>
                <w:highlight w:val="white"/>
              </w:rPr>
              <w:t xml:space="preserve">34.</w:t>
            </w:r>
          </w:p>
        </w:tc>
        <w:tc>
          <w:tcPr>
            <w:tcW w:w="1589" w:type="dxa"/>
            <w:tcBorders>
              <w:top w:val="single" w:color="auto" w:sz="4" w:space="0"/>
              <w:left w:val="single" w:color="auto" w:sz="4" w:space="0"/>
              <w:bottom w:val="single" w:color="auto" w:sz="4" w:space="0"/>
              <w:right w:val="single" w:color="auto" w:sz="4" w:space="0"/>
            </w:tcBorders>
          </w:tcPr>
          <w:p>
            <w:pPr>
              <w:spacing w:line="230" w:lineRule="auto"/>
              <w:rPr>
                <w:spacing w:val="-4"/>
                <w:highlight w:val="white"/>
              </w:rPr>
            </w:pPr>
            <w:r>
              <w:rPr>
                <w:spacing w:val="-4"/>
                <w:highlight w:val="white"/>
              </w:rPr>
              <w:t xml:space="preserve">Реальные располагаемые денежные доходы населения</w:t>
            </w:r>
          </w:p>
        </w:tc>
        <w:tc>
          <w:tcPr>
            <w:tcW w:w="1418" w:type="dxa"/>
            <w:tcBorders>
              <w:top w:val="single" w:color="auto" w:sz="4" w:space="0"/>
              <w:left w:val="single" w:color="auto" w:sz="4" w:space="0"/>
              <w:bottom w:val="single" w:color="auto" w:sz="4" w:space="0"/>
              <w:right w:val="single" w:color="auto" w:sz="4" w:space="0"/>
            </w:tcBorders>
          </w:tcPr>
          <w:p>
            <w:pPr>
              <w:spacing w:line="230" w:lineRule="auto"/>
              <w:jc w:val="center"/>
              <w:rPr>
                <w:highlight w:val="white"/>
              </w:rPr>
            </w:pPr>
            <w:r>
              <w:rPr>
                <w:highlight w:val="white"/>
              </w:rPr>
              <w:t xml:space="preserve">процентов к уровню </w:t>
            </w:r>
            <w:r>
              <w:rPr>
                <w:highlight w:val="white"/>
              </w:rPr>
              <w:t xml:space="preserve">предыду-щего</w:t>
            </w:r>
            <w:r>
              <w:rPr>
                <w:highlight w:val="white"/>
              </w:rPr>
              <w:t xml:space="preserve"> года</w:t>
            </w:r>
          </w:p>
        </w:tc>
        <w:tc>
          <w:tcPr>
            <w:tcW w:w="1417"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106,5</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t xml:space="preserve">103,6</w:t>
            </w:r>
          </w:p>
        </w:tc>
        <w:tc>
          <w:tcPr>
            <w:tcW w:w="1701" w:type="dxa"/>
            <w:tcBorders>
              <w:top w:val="single" w:color="auto" w:sz="4" w:space="0"/>
              <w:left w:val="single" w:color="auto" w:sz="4" w:space="0"/>
              <w:bottom w:val="single" w:color="auto" w:sz="4" w:space="0"/>
              <w:right w:val="single" w:color="auto" w:sz="4" w:space="0"/>
            </w:tcBorders>
          </w:tcPr>
          <w:p>
            <w:pPr>
              <w:jc w:val="center"/>
              <w:rPr>
                <w:highlight w:val="white"/>
              </w:rPr>
            </w:pPr>
            <w:r>
              <w:t xml:space="preserve">101,5</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t xml:space="preserve">102,0</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102,0</w:t>
            </w:r>
          </w:p>
        </w:tc>
        <w:tc>
          <w:tcPr>
            <w:tcW w:w="1644" w:type="dxa"/>
            <w:tcBorders>
              <w:top w:val="single" w:color="auto" w:sz="4" w:space="0"/>
              <w:left w:val="single" w:color="auto" w:sz="4" w:space="0"/>
              <w:bottom w:val="single" w:color="auto" w:sz="4" w:space="0"/>
              <w:right w:val="single" w:color="auto" w:sz="4" w:space="0"/>
            </w:tcBorders>
          </w:tcPr>
          <w:p>
            <w:pPr>
              <w:jc w:val="center"/>
              <w:rPr>
                <w:highlight w:val="white"/>
              </w:rPr>
            </w:pPr>
            <w:r>
              <w:t xml:space="preserve">103,0</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102,0</w:t>
            </w:r>
          </w:p>
        </w:tc>
        <w:tc>
          <w:tcPr>
            <w:tcW w:w="136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102,7</w:t>
            </w:r>
          </w:p>
        </w:tc>
      </w:tr>
      <w:tr>
        <w:tc>
          <w:tcPr>
            <w:tcW w:w="53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35.</w:t>
            </w:r>
          </w:p>
        </w:tc>
        <w:tc>
          <w:tcPr>
            <w:tcW w:w="1589" w:type="dxa"/>
            <w:tcBorders>
              <w:top w:val="single" w:color="auto" w:sz="4" w:space="0"/>
              <w:left w:val="single" w:color="auto" w:sz="4" w:space="0"/>
              <w:bottom w:val="single" w:color="auto" w:sz="4" w:space="0"/>
              <w:right w:val="single" w:color="auto" w:sz="4" w:space="0"/>
            </w:tcBorders>
          </w:tcPr>
          <w:p>
            <w:pPr>
              <w:rPr>
                <w:spacing w:val="-4"/>
                <w:highlight w:val="white"/>
              </w:rPr>
            </w:pPr>
            <w:r>
              <w:rPr>
                <w:spacing w:val="-4"/>
                <w:highlight w:val="white"/>
              </w:rPr>
              <w:t xml:space="preserve">Численность населения с денежными доходами  ниже границы бедности </w:t>
            </w:r>
          </w:p>
        </w:tc>
        <w:tc>
          <w:tcPr>
            <w:tcW w:w="1418" w:type="dxa"/>
            <w:tcBorders>
              <w:top w:val="single" w:color="auto" w:sz="4" w:space="0"/>
              <w:left w:val="single" w:color="auto" w:sz="4" w:space="0"/>
              <w:bottom w:val="single" w:color="auto" w:sz="4" w:space="0"/>
              <w:right w:val="single" w:color="auto" w:sz="4" w:space="0"/>
            </w:tcBorders>
          </w:tcPr>
          <w:p>
            <w:pPr>
              <w:spacing w:line="230" w:lineRule="auto"/>
              <w:jc w:val="center"/>
              <w:rPr>
                <w:highlight w:val="white"/>
              </w:rPr>
            </w:pPr>
            <w:r>
              <w:rPr>
                <w:highlight w:val="white"/>
              </w:rPr>
              <w:t xml:space="preserve">процентов</w:t>
            </w:r>
          </w:p>
        </w:tc>
        <w:tc>
          <w:tcPr>
            <w:tcW w:w="1417"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9,2</w:t>
            </w:r>
          </w:p>
        </w:tc>
        <w:tc>
          <w:tcPr>
            <w:tcW w:w="1418"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9,7</w:t>
            </w:r>
          </w:p>
        </w:tc>
        <w:tc>
          <w:tcPr>
            <w:tcW w:w="170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9,5</w:t>
            </w:r>
          </w:p>
        </w:tc>
        <w:tc>
          <w:tcPr>
            <w:tcW w:w="1473"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9,1</w:t>
            </w:r>
          </w:p>
        </w:tc>
        <w:tc>
          <w:tcPr>
            <w:tcW w:w="1702"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9,1</w:t>
            </w:r>
          </w:p>
        </w:tc>
        <w:tc>
          <w:tcPr>
            <w:tcW w:w="1644"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8,6</w:t>
            </w:r>
          </w:p>
        </w:tc>
        <w:tc>
          <w:tcPr>
            <w:tcW w:w="1758" w:type="dxa"/>
            <w:gridSpan w:val="2"/>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8,4</w:t>
            </w:r>
          </w:p>
        </w:tc>
        <w:tc>
          <w:tcPr>
            <w:tcW w:w="1361" w:type="dxa"/>
            <w:tcBorders>
              <w:top w:val="single" w:color="auto" w:sz="4" w:space="0"/>
              <w:left w:val="single" w:color="auto" w:sz="4" w:space="0"/>
              <w:bottom w:val="single" w:color="auto" w:sz="4" w:space="0"/>
              <w:right w:val="single" w:color="auto" w:sz="4" w:space="0"/>
            </w:tcBorders>
          </w:tcPr>
          <w:p>
            <w:pPr>
              <w:jc w:val="center"/>
              <w:rPr>
                <w:highlight w:val="white"/>
              </w:rPr>
            </w:pPr>
            <w:r>
              <w:rPr>
                <w:highlight w:val="white"/>
              </w:rPr>
              <w:t xml:space="preserve">8,1</w:t>
            </w:r>
          </w:p>
        </w:tc>
      </w:tr>
    </w:tbl>
    <w:p>
      <w:pPr>
        <w:pStyle w:val="aff4"/>
        <w:tabs>
          <w:tab w:val="clear" w:pos="12255"/>
        </w:tabs>
        <w:ind w:left="-142"/>
        <w:jc w:val="left"/>
        <w:rPr>
          <w:rFonts w:ascii="Times New Roman" w:hAnsi="Times New Roman"/>
          <w:b w:val="0"/>
          <w:sz w:val="22"/>
          <w:szCs w:val="20"/>
          <w:highlight w:val="white"/>
          <w:vertAlign w:val="superscript"/>
        </w:rPr>
      </w:pPr>
    </w:p>
    <w:p>
      <w:pPr>
        <w:pStyle w:val="aff4"/>
        <w:tabs>
          <w:tab w:val="clear" w:pos="12255"/>
        </w:tabs>
        <w:ind w:left="-142"/>
        <w:jc w:val="left"/>
        <w:rPr>
          <w:rFonts w:ascii="Times New Roman" w:hAnsi="Times New Roman"/>
          <w:b w:val="0"/>
          <w:sz w:val="22"/>
          <w:szCs w:val="20"/>
          <w:highlight w:val="white"/>
        </w:rPr>
      </w:pPr>
      <w:r>
        <w:rPr>
          <w:rFonts w:ascii="Times New Roman" w:hAnsi="Times New Roman"/>
          <w:b w:val="0"/>
          <w:sz w:val="22"/>
          <w:szCs w:val="20"/>
          <w:highlight w:val="white"/>
          <w:vertAlign w:val="superscript"/>
        </w:rPr>
        <w:t xml:space="preserve">*</w:t>
      </w:r>
      <w:r>
        <w:rPr>
          <w:rFonts w:ascii="Times New Roman" w:hAnsi="Times New Roman"/>
          <w:b w:val="0"/>
          <w:sz w:val="22"/>
          <w:szCs w:val="20"/>
          <w:highlight w:val="white"/>
          <w:vertAlign w:val="superscript"/>
        </w:rPr>
        <w:t xml:space="preserve">)  </w:t>
      </w:r>
      <w:r>
        <w:rPr>
          <w:rFonts w:ascii="Times New Roman" w:hAnsi="Times New Roman"/>
          <w:b w:val="0"/>
          <w:sz w:val="22"/>
          <w:szCs w:val="20"/>
          <w:highlight w:val="white"/>
        </w:rPr>
        <w:t xml:space="preserve">Оценка</w:t>
      </w:r>
      <w:r>
        <w:rPr>
          <w:rFonts w:ascii="Times New Roman" w:hAnsi="Times New Roman"/>
          <w:b w:val="0"/>
          <w:sz w:val="22"/>
          <w:szCs w:val="20"/>
          <w:highlight w:val="white"/>
        </w:rPr>
        <w:t xml:space="preserve">.</w:t>
      </w:r>
    </w:p>
    <w:p>
      <w:pPr>
        <w:pStyle w:val="aff4"/>
        <w:tabs>
          <w:tab w:val="clear" w:pos="12255"/>
        </w:tabs>
        <w:ind w:left="-567"/>
        <w:jc w:val="left"/>
        <w:rPr>
          <w:rFonts w:ascii="Times New Roman" w:hAnsi="Times New Roman"/>
          <w:b w:val="0"/>
          <w:caps/>
          <w:sz w:val="20"/>
          <w:szCs w:val="20"/>
          <w:highlight w:val="white"/>
        </w:rPr>
      </w:pPr>
      <w:r>
        <w:rPr>
          <w:rFonts w:ascii="Times New Roman" w:hAnsi="Times New Roman"/>
          <w:b w:val="0"/>
          <w:sz w:val="20"/>
          <w:szCs w:val="20"/>
          <w:highlight w:val="white"/>
          <w:vertAlign w:val="superscript"/>
        </w:rPr>
        <mc:AlternateContent>
          <mc:Choice Requires="wpg">
            <w:drawing>
              <wp:anchor xmlns:wp="http://schemas.openxmlformats.org/drawingml/2006/wordprocessingDrawing" xmlns:wp14="http://schemas.microsoft.com/office/word/2010/wordprocessingDrawing" distT="0" distB="0" distL="114300" distR="114300" simplePos="0" relativeHeight="251657728" behindDoc="0" locked="0" layoutInCell="1" allowOverlap="1">
                <wp:simplePos x="0" y="0"/>
                <wp:positionH relativeFrom="column">
                  <wp:posOffset>3846858</wp:posOffset>
                </wp:positionH>
                <wp:positionV relativeFrom="paragraph">
                  <wp:posOffset>260102</wp:posOffset>
                </wp:positionV>
                <wp:extent cx="1367624" cy="0"/>
                <wp:effectExtent l="0" t="0" r="23495" b="19050"/>
                <wp:wrapNone/>
                <wp:docPr id="1" name="Line 4"/>
                <wp:cNvGraphicFramePr/>
                <a:graphic xmlns:a="http://schemas.openxmlformats.org/drawingml/2006/main">
                  <a:graphicData uri="http://schemas.microsoft.com/office/word/2010/wordprocessingShape">
                    <wps:wsp>
                      <wps:cNvPr id="0" name=""/>
                      <wps:cNvSpPr/>
                      <wps:spPr bwMode="auto">
                        <a:xfrm>
                          <a:off x="0" y="0"/>
                          <a:ext cx="1367624" cy="0"/>
                        </a:xfrm>
                        <a:prstGeom prst="line">
                          <a:avLst/>
                        </a:prstGeom>
                        <a:noFill/>
                        <a:ln w="9525">
                          <a:solidFill>
                            <a:srgbClr val="00000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line id="shape 0" o:spid="_x0000_s0" style="position:absolute;left:0;text-align:left;z-index:251657728;mso-wrap-distance-left:9.00pt;mso-wrap-distance-top:0.00pt;mso-wrap-distance-right:9.00pt;mso-wrap-distance-bottom:0.00pt;visibility:visible;" from="302.9pt,20.5pt" to="410.6pt,20.5pt" filled="f" strokecolor="#000000" strokeweight="0.75pt"/>
            </w:pict>
          </mc:Fallback>
        </mc:AlternateContent>
      </w:r>
    </w:p>
    <w:sectPr>
      <w:pgSz w:w="16838" w:h="11906" w:orient="landscape"/>
      <w:pgMar w:top="1134" w:right="253" w:bottom="567" w:left="879"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nos">
    <w:panose1 w:val="02020603050405020304"/>
  </w:font>
  <w:font w:name="TimesNewRomanPSMT">
    <w:panose1 w:val="02020603050405020304"/>
  </w:font>
  <w:font w:name="Wingdings">
    <w:panose1 w:val="05010000000000000000"/>
  </w:font>
  <w:font w:name="Symbol">
    <w:panose1 w:val="05010000000000000000"/>
  </w:font>
  <w:font w:name="Verdana">
    <w:panose1 w:val="020B0604030504040204"/>
  </w:font>
  <w:font w:name="Trebuchet MS">
    <w:panose1 w:val="020B0603020202020204"/>
  </w:font>
  <w:font w:name="Courier New">
    <w:panose1 w:val="02070409020205020404"/>
  </w:font>
  <w:font w:name="OfficinaSansC-Bold">
    <w:panose1 w:val="02000603000000000000"/>
  </w:font>
  <w:font w:name="Tahoma">
    <w:panose1 w:val="020B0604030504040204"/>
  </w:font>
  <w:font w:name="OfficinaSansC-Book">
    <w:panose1 w:val="02000603000000000000"/>
  </w:font>
  <w:font w:name="Cambria">
    <w:panose1 w:val="02040503050406030204"/>
  </w:font>
  <w:font w:name="Calibri">
    <w:panose1 w:val="020F0502020204030204"/>
  </w:font>
  <w:font w:name="inherit">
    <w:panose1 w:val="02000603000000000000"/>
  </w:font>
  <w:font w:name="Arial">
    <w:panose1 w:val="020B0604020202020204"/>
  </w:font>
  <w:font w:name="Times New Roman">
    <w:panose1 w:val="020206030504050203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af8"/>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af3"/>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pPr>
      <w:pStyle w:val="af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af3"/>
      <w:jc w:val="center"/>
    </w:pPr>
    <w:r>
      <w:fldChar w:fldCharType="begin"/>
    </w:r>
    <w:r>
      <w:instrText xml:space="preserve">PAGE \* MERGEFORMAT</w:instrText>
    </w:r>
    <w:r>
      <w:fldChar w:fldCharType="separate"/>
    </w:r>
    <w:r>
      <w:t xml:space="preserve">2</w:t>
    </w:r>
    <w:r>
      <w:fldChar w:fldCharType="end"/>
    </w:r>
  </w:p>
  <w:p>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tplc="32844B8A">
      <w:start w:val="1"/>
      <w:numFmt w:val="decimal"/>
      <w:lvlText w:val="%1)"/>
      <w:lvlJc w:val="left"/>
      <w:pPr>
        <w:ind w:left="2345" w:hanging="360"/>
      </w:pPr>
      <w:rPr>
        <w:rFonts w:hint="default"/>
      </w:rPr>
    </w:lvl>
    <w:lvl w:ilvl="1" w:tplc="5E0A242C">
      <w:start w:val="1"/>
      <w:numFmt w:val="lowerLetter"/>
      <w:lvlText w:val="%2."/>
      <w:lvlJc w:val="left"/>
      <w:pPr>
        <w:ind w:left="3065" w:hanging="360"/>
      </w:pPr>
    </w:lvl>
    <w:lvl w:ilvl="2" w:tplc="1538812C">
      <w:start w:val="1"/>
      <w:numFmt w:val="lowerRoman"/>
      <w:lvlText w:val="%3."/>
      <w:lvlJc w:val="right"/>
      <w:pPr>
        <w:ind w:left="3785" w:hanging="180"/>
      </w:pPr>
    </w:lvl>
    <w:lvl w:ilvl="3" w:tplc="16DE9026">
      <w:start w:val="1"/>
      <w:numFmt w:val="decimal"/>
      <w:lvlText w:val="%4."/>
      <w:lvlJc w:val="left"/>
      <w:pPr>
        <w:ind w:left="4505" w:hanging="360"/>
      </w:pPr>
    </w:lvl>
    <w:lvl w:ilvl="4" w:tplc="850218AC">
      <w:start w:val="1"/>
      <w:numFmt w:val="lowerLetter"/>
      <w:lvlText w:val="%5."/>
      <w:lvlJc w:val="left"/>
      <w:pPr>
        <w:ind w:left="5225" w:hanging="360"/>
      </w:pPr>
    </w:lvl>
    <w:lvl w:ilvl="5" w:tplc="EB8A9250">
      <w:start w:val="1"/>
      <w:numFmt w:val="lowerRoman"/>
      <w:lvlText w:val="%6."/>
      <w:lvlJc w:val="right"/>
      <w:pPr>
        <w:ind w:left="5945" w:hanging="180"/>
      </w:pPr>
    </w:lvl>
    <w:lvl w:ilvl="6" w:tplc="AB14C6B8">
      <w:start w:val="1"/>
      <w:numFmt w:val="decimal"/>
      <w:lvlText w:val="%7."/>
      <w:lvlJc w:val="left"/>
      <w:pPr>
        <w:ind w:left="6665" w:hanging="360"/>
      </w:pPr>
    </w:lvl>
    <w:lvl w:ilvl="7" w:tplc="049C123E">
      <w:start w:val="1"/>
      <w:numFmt w:val="lowerLetter"/>
      <w:lvlText w:val="%8."/>
      <w:lvlJc w:val="left"/>
      <w:pPr>
        <w:ind w:left="7385" w:hanging="360"/>
      </w:pPr>
    </w:lvl>
    <w:lvl w:ilvl="8" w:tplc="1068D9BA">
      <w:start w:val="1"/>
      <w:numFmt w:val="lowerRoman"/>
      <w:lvlText w:val="%9."/>
      <w:lvlJc w:val="right"/>
      <w:pPr>
        <w:ind w:left="8105" w:hanging="180"/>
      </w:pPr>
    </w:lvl>
  </w:abstractNum>
  <w:abstractNum w:abstractNumId="1">
    <w:multiLevelType w:val="hybridMultilevel"/>
    <w:lvl w:ilvl="0" w:tplc="CBDC41BA">
      <w:start w:val="1"/>
      <w:numFmt w:val="decimal"/>
      <w:lvlText w:val="%1)"/>
      <w:lvlJc w:val="left"/>
      <w:pPr>
        <w:ind w:left="1093" w:hanging="384"/>
      </w:pPr>
      <w:rPr>
        <w:rFonts w:hint="default"/>
        <w:b/>
      </w:rPr>
    </w:lvl>
    <w:lvl w:ilvl="1" w:tplc="0C046412">
      <w:start w:val="1"/>
      <w:numFmt w:val="lowerLetter"/>
      <w:lvlText w:val="%2."/>
      <w:lvlJc w:val="left"/>
      <w:pPr>
        <w:ind w:left="1789" w:hanging="360"/>
      </w:pPr>
    </w:lvl>
    <w:lvl w:ilvl="2" w:tplc="A4E46B44">
      <w:start w:val="1"/>
      <w:numFmt w:val="lowerRoman"/>
      <w:lvlText w:val="%3."/>
      <w:lvlJc w:val="right"/>
      <w:pPr>
        <w:ind w:left="2509" w:hanging="180"/>
      </w:pPr>
    </w:lvl>
    <w:lvl w:ilvl="3" w:tplc="6DA4AAD6">
      <w:start w:val="1"/>
      <w:numFmt w:val="decimal"/>
      <w:lvlText w:val="%4."/>
      <w:lvlJc w:val="left"/>
      <w:pPr>
        <w:ind w:left="3229" w:hanging="360"/>
      </w:pPr>
    </w:lvl>
    <w:lvl w:ilvl="4" w:tplc="6142A226">
      <w:start w:val="1"/>
      <w:numFmt w:val="lowerLetter"/>
      <w:lvlText w:val="%5."/>
      <w:lvlJc w:val="left"/>
      <w:pPr>
        <w:ind w:left="3949" w:hanging="360"/>
      </w:pPr>
    </w:lvl>
    <w:lvl w:ilvl="5" w:tplc="35F0846E">
      <w:start w:val="1"/>
      <w:numFmt w:val="lowerRoman"/>
      <w:lvlText w:val="%6."/>
      <w:lvlJc w:val="right"/>
      <w:pPr>
        <w:ind w:left="4669" w:hanging="180"/>
      </w:pPr>
    </w:lvl>
    <w:lvl w:ilvl="6" w:tplc="FCEC8492">
      <w:start w:val="1"/>
      <w:numFmt w:val="decimal"/>
      <w:lvlText w:val="%7."/>
      <w:lvlJc w:val="left"/>
      <w:pPr>
        <w:ind w:left="5389" w:hanging="360"/>
      </w:pPr>
    </w:lvl>
    <w:lvl w:ilvl="7" w:tplc="566261F6">
      <w:start w:val="1"/>
      <w:numFmt w:val="lowerLetter"/>
      <w:lvlText w:val="%8."/>
      <w:lvlJc w:val="left"/>
      <w:pPr>
        <w:ind w:left="6109" w:hanging="360"/>
      </w:pPr>
    </w:lvl>
    <w:lvl w:ilvl="8" w:tplc="A8CC0D22">
      <w:start w:val="1"/>
      <w:numFmt w:val="lowerRoman"/>
      <w:lvlText w:val="%9."/>
      <w:lvlJc w:val="right"/>
      <w:pPr>
        <w:ind w:left="6829" w:hanging="180"/>
      </w:pPr>
    </w:lvl>
  </w:abstractNum>
  <w:abstractNum w:abstractNumId="2">
    <w:multiLevelType w:val="hybridMultilevel"/>
    <w:lvl w:ilvl="0" w:tplc="306C29E6">
      <w:start w:val="1"/>
      <w:numFmt w:val="bullet"/>
      <w:lvlText w:val=""/>
      <w:lvlJc w:val="left"/>
      <w:pPr>
        <w:tabs>
          <w:tab w:val="num" w:pos="720"/>
        </w:tabs>
        <w:ind w:left="720" w:hanging="360"/>
      </w:pPr>
      <w:rPr>
        <w:rFonts w:hint="default" w:ascii="Symbol" w:hAnsi="Symbol"/>
      </w:rPr>
    </w:lvl>
    <w:lvl w:ilvl="1" w:tplc="A69AE40E">
      <w:start w:val="1"/>
      <w:numFmt w:val="bullet"/>
      <w:lvlText w:val="o"/>
      <w:lvlJc w:val="left"/>
      <w:pPr>
        <w:tabs>
          <w:tab w:val="num" w:pos="1440"/>
        </w:tabs>
        <w:ind w:left="1440" w:hanging="360"/>
      </w:pPr>
      <w:rPr>
        <w:rFonts w:hint="default" w:ascii="Courier New" w:hAnsi="Courier New"/>
      </w:rPr>
    </w:lvl>
    <w:lvl w:ilvl="2" w:tplc="74A69FD0">
      <w:start w:val="1"/>
      <w:numFmt w:val="bullet"/>
      <w:lvlText w:val=""/>
      <w:lvlJc w:val="left"/>
      <w:pPr>
        <w:tabs>
          <w:tab w:val="num" w:pos="2160"/>
        </w:tabs>
        <w:ind w:left="2160" w:hanging="360"/>
      </w:pPr>
      <w:rPr>
        <w:rFonts w:hint="default" w:ascii="Wingdings" w:hAnsi="Wingdings"/>
      </w:rPr>
    </w:lvl>
    <w:lvl w:ilvl="3" w:tplc="5E7875DC">
      <w:start w:val="1"/>
      <w:numFmt w:val="bullet"/>
      <w:lvlText w:val=""/>
      <w:lvlJc w:val="left"/>
      <w:pPr>
        <w:tabs>
          <w:tab w:val="num" w:pos="2880"/>
        </w:tabs>
        <w:ind w:left="2880" w:hanging="360"/>
      </w:pPr>
      <w:rPr>
        <w:rFonts w:hint="default" w:ascii="Symbol" w:hAnsi="Symbol"/>
      </w:rPr>
    </w:lvl>
    <w:lvl w:ilvl="4" w:tplc="1BF4B02A">
      <w:start w:val="1"/>
      <w:numFmt w:val="bullet"/>
      <w:lvlText w:val="o"/>
      <w:lvlJc w:val="left"/>
      <w:pPr>
        <w:tabs>
          <w:tab w:val="num" w:pos="3600"/>
        </w:tabs>
        <w:ind w:left="3600" w:hanging="360"/>
      </w:pPr>
      <w:rPr>
        <w:rFonts w:hint="default" w:ascii="Courier New" w:hAnsi="Courier New"/>
      </w:rPr>
    </w:lvl>
    <w:lvl w:ilvl="5" w:tplc="D8361120">
      <w:start w:val="1"/>
      <w:numFmt w:val="bullet"/>
      <w:lvlText w:val=""/>
      <w:lvlJc w:val="left"/>
      <w:pPr>
        <w:tabs>
          <w:tab w:val="num" w:pos="4320"/>
        </w:tabs>
        <w:ind w:left="4320" w:hanging="360"/>
      </w:pPr>
      <w:rPr>
        <w:rFonts w:hint="default" w:ascii="Wingdings" w:hAnsi="Wingdings"/>
      </w:rPr>
    </w:lvl>
    <w:lvl w:ilvl="6" w:tplc="6D1C335E">
      <w:start w:val="1"/>
      <w:numFmt w:val="bullet"/>
      <w:lvlText w:val=""/>
      <w:lvlJc w:val="left"/>
      <w:pPr>
        <w:tabs>
          <w:tab w:val="num" w:pos="5040"/>
        </w:tabs>
        <w:ind w:left="5040" w:hanging="360"/>
      </w:pPr>
      <w:rPr>
        <w:rFonts w:hint="default" w:ascii="Symbol" w:hAnsi="Symbol"/>
      </w:rPr>
    </w:lvl>
    <w:lvl w:ilvl="7" w:tplc="0624DD34">
      <w:start w:val="1"/>
      <w:numFmt w:val="bullet"/>
      <w:lvlText w:val="o"/>
      <w:lvlJc w:val="left"/>
      <w:pPr>
        <w:tabs>
          <w:tab w:val="num" w:pos="5760"/>
        </w:tabs>
        <w:ind w:left="5760" w:hanging="360"/>
      </w:pPr>
      <w:rPr>
        <w:rFonts w:hint="default" w:ascii="Courier New" w:hAnsi="Courier New"/>
      </w:rPr>
    </w:lvl>
    <w:lvl w:ilvl="8" w:tplc="98EC0452">
      <w:start w:val="1"/>
      <w:numFmt w:val="bullet"/>
      <w:lvlText w:val=""/>
      <w:lvlJc w:val="left"/>
      <w:pPr>
        <w:tabs>
          <w:tab w:val="num" w:pos="6480"/>
        </w:tabs>
        <w:ind w:left="6480" w:hanging="360"/>
      </w:pPr>
      <w:rPr>
        <w:rFonts w:hint="default" w:ascii="Wingdings" w:hAnsi="Wingdings"/>
      </w:rPr>
    </w:lvl>
  </w:abstractNum>
  <w:abstractNum w:abstractNumId="3">
    <w:multiLevelType w:val="hybridMultilevel"/>
    <w:lvl w:ilvl="0" w:tplc="41CC84CE">
      <w:start w:val="11"/>
      <w:numFmt w:val="decimal"/>
      <w:lvlText w:val="%1."/>
      <w:lvlJc w:val="left"/>
      <w:pPr>
        <w:ind w:left="1069" w:hanging="360"/>
      </w:pPr>
      <w:rPr>
        <w:rFonts w:hint="default"/>
      </w:rPr>
    </w:lvl>
    <w:lvl w:ilvl="1" w:tplc="57B050F8">
      <w:start w:val="1"/>
      <w:numFmt w:val="lowerLetter"/>
      <w:lvlText w:val="%2."/>
      <w:lvlJc w:val="left"/>
      <w:pPr>
        <w:ind w:left="1440" w:hanging="360"/>
      </w:pPr>
    </w:lvl>
    <w:lvl w:ilvl="2" w:tplc="BBE49DF4">
      <w:start w:val="1"/>
      <w:numFmt w:val="lowerRoman"/>
      <w:lvlText w:val="%3."/>
      <w:lvlJc w:val="right"/>
      <w:pPr>
        <w:ind w:left="2160" w:hanging="180"/>
      </w:pPr>
    </w:lvl>
    <w:lvl w:ilvl="3" w:tplc="47BAFF3C">
      <w:start w:val="1"/>
      <w:numFmt w:val="decimal"/>
      <w:lvlText w:val="%4."/>
      <w:lvlJc w:val="left"/>
      <w:pPr>
        <w:ind w:left="2880" w:hanging="360"/>
      </w:pPr>
    </w:lvl>
    <w:lvl w:ilvl="4" w:tplc="5A6695BA">
      <w:start w:val="1"/>
      <w:numFmt w:val="lowerLetter"/>
      <w:lvlText w:val="%5."/>
      <w:lvlJc w:val="left"/>
      <w:pPr>
        <w:ind w:left="3600" w:hanging="360"/>
      </w:pPr>
    </w:lvl>
    <w:lvl w:ilvl="5" w:tplc="71EAA414">
      <w:start w:val="1"/>
      <w:numFmt w:val="lowerRoman"/>
      <w:lvlText w:val="%6."/>
      <w:lvlJc w:val="right"/>
      <w:pPr>
        <w:ind w:left="4320" w:hanging="180"/>
      </w:pPr>
    </w:lvl>
    <w:lvl w:ilvl="6" w:tplc="0054E692">
      <w:start w:val="1"/>
      <w:numFmt w:val="decimal"/>
      <w:lvlText w:val="%7."/>
      <w:lvlJc w:val="left"/>
      <w:pPr>
        <w:ind w:left="5040" w:hanging="360"/>
      </w:pPr>
    </w:lvl>
    <w:lvl w:ilvl="7" w:tplc="1A48833A">
      <w:start w:val="1"/>
      <w:numFmt w:val="lowerLetter"/>
      <w:lvlText w:val="%8."/>
      <w:lvlJc w:val="left"/>
      <w:pPr>
        <w:ind w:left="5760" w:hanging="360"/>
      </w:pPr>
    </w:lvl>
    <w:lvl w:ilvl="8" w:tplc="E4DA10AE">
      <w:start w:val="1"/>
      <w:numFmt w:val="lowerRoman"/>
      <w:lvlText w:val="%9."/>
      <w:lvlJc w:val="right"/>
      <w:pPr>
        <w:ind w:left="6480" w:hanging="180"/>
      </w:pPr>
    </w:lvl>
  </w:abstractNum>
  <w:abstractNum w:abstractNumId="4">
    <w:multiLevelType w:val="hybridMultilevel"/>
    <w:lvl w:ilvl="0" w:tplc="40D6DFB4">
      <w:start w:val="1"/>
      <w:numFmt w:val="bullet"/>
      <w:lvlText w:val=""/>
      <w:lvlJc w:val="left"/>
      <w:pPr>
        <w:ind w:left="1429" w:hanging="360"/>
      </w:pPr>
      <w:rPr>
        <w:rFonts w:hint="default" w:ascii="Symbol" w:hAnsi="Symbol"/>
      </w:rPr>
    </w:lvl>
    <w:lvl w:ilvl="1" w:tplc="85A0C076">
      <w:start w:val="1"/>
      <w:numFmt w:val="bullet"/>
      <w:lvlText w:val="o"/>
      <w:lvlJc w:val="left"/>
      <w:pPr>
        <w:ind w:left="2149" w:hanging="360"/>
      </w:pPr>
      <w:rPr>
        <w:rFonts w:hint="default" w:ascii="Courier New" w:hAnsi="Courier New" w:cs="Courier New"/>
      </w:rPr>
    </w:lvl>
    <w:lvl w:ilvl="2" w:tplc="2196EF0E">
      <w:start w:val="1"/>
      <w:numFmt w:val="bullet"/>
      <w:lvlText w:val=""/>
      <w:lvlJc w:val="left"/>
      <w:pPr>
        <w:ind w:left="2869" w:hanging="360"/>
      </w:pPr>
      <w:rPr>
        <w:rFonts w:hint="default" w:ascii="Wingdings" w:hAnsi="Wingdings"/>
      </w:rPr>
    </w:lvl>
    <w:lvl w:ilvl="3" w:tplc="A1D4F4E8">
      <w:start w:val="1"/>
      <w:numFmt w:val="bullet"/>
      <w:lvlText w:val=""/>
      <w:lvlJc w:val="left"/>
      <w:pPr>
        <w:ind w:left="3589" w:hanging="360"/>
      </w:pPr>
      <w:rPr>
        <w:rFonts w:hint="default" w:ascii="Symbol" w:hAnsi="Symbol"/>
      </w:rPr>
    </w:lvl>
    <w:lvl w:ilvl="4" w:tplc="F446E606">
      <w:start w:val="1"/>
      <w:numFmt w:val="bullet"/>
      <w:lvlText w:val="o"/>
      <w:lvlJc w:val="left"/>
      <w:pPr>
        <w:ind w:left="4309" w:hanging="360"/>
      </w:pPr>
      <w:rPr>
        <w:rFonts w:hint="default" w:ascii="Courier New" w:hAnsi="Courier New" w:cs="Courier New"/>
      </w:rPr>
    </w:lvl>
    <w:lvl w:ilvl="5" w:tplc="F26CC722">
      <w:start w:val="1"/>
      <w:numFmt w:val="bullet"/>
      <w:lvlText w:val=""/>
      <w:lvlJc w:val="left"/>
      <w:pPr>
        <w:ind w:left="5029" w:hanging="360"/>
      </w:pPr>
      <w:rPr>
        <w:rFonts w:hint="default" w:ascii="Wingdings" w:hAnsi="Wingdings"/>
      </w:rPr>
    </w:lvl>
    <w:lvl w:ilvl="6" w:tplc="1278E068">
      <w:start w:val="1"/>
      <w:numFmt w:val="bullet"/>
      <w:lvlText w:val=""/>
      <w:lvlJc w:val="left"/>
      <w:pPr>
        <w:ind w:left="5749" w:hanging="360"/>
      </w:pPr>
      <w:rPr>
        <w:rFonts w:hint="default" w:ascii="Symbol" w:hAnsi="Symbol"/>
      </w:rPr>
    </w:lvl>
    <w:lvl w:ilvl="7" w:tplc="A81E2F64">
      <w:start w:val="1"/>
      <w:numFmt w:val="bullet"/>
      <w:lvlText w:val="o"/>
      <w:lvlJc w:val="left"/>
      <w:pPr>
        <w:ind w:left="6469" w:hanging="360"/>
      </w:pPr>
      <w:rPr>
        <w:rFonts w:hint="default" w:ascii="Courier New" w:hAnsi="Courier New" w:cs="Courier New"/>
      </w:rPr>
    </w:lvl>
    <w:lvl w:ilvl="8" w:tplc="6CBCC150">
      <w:start w:val="1"/>
      <w:numFmt w:val="bullet"/>
      <w:lvlText w:val=""/>
      <w:lvlJc w:val="left"/>
      <w:pPr>
        <w:ind w:left="7189" w:hanging="360"/>
      </w:pPr>
      <w:rPr>
        <w:rFonts w:hint="default" w:ascii="Wingdings" w:hAnsi="Wingdings"/>
      </w:rPr>
    </w:lvl>
  </w:abstractNum>
  <w:abstractNum w:abstractNumId="5">
    <w:multiLevelType w:val="hybridMultilevel"/>
    <w:lvl w:ilvl="0" w:tplc="4B128728">
      <w:start w:val="1"/>
      <w:numFmt w:val="bullet"/>
      <w:lvlText w:val=""/>
      <w:lvlJc w:val="left"/>
      <w:pPr>
        <w:ind w:left="2912" w:hanging="360"/>
      </w:pPr>
      <w:rPr>
        <w:rFonts w:hint="default" w:ascii="Symbol" w:hAnsi="Symbol"/>
      </w:rPr>
    </w:lvl>
    <w:lvl w:ilvl="1" w:tplc="8A345620">
      <w:start w:val="1"/>
      <w:numFmt w:val="bullet"/>
      <w:lvlText w:val="o"/>
      <w:lvlJc w:val="left"/>
      <w:pPr>
        <w:ind w:left="2160" w:hanging="360"/>
      </w:pPr>
      <w:rPr>
        <w:rFonts w:hint="default" w:ascii="Courier New" w:hAnsi="Courier New" w:cs="Courier New"/>
      </w:rPr>
    </w:lvl>
    <w:lvl w:ilvl="2" w:tplc="9CB8DEEC">
      <w:start w:val="1"/>
      <w:numFmt w:val="bullet"/>
      <w:lvlText w:val=""/>
      <w:lvlJc w:val="left"/>
      <w:pPr>
        <w:ind w:left="2880" w:hanging="360"/>
      </w:pPr>
      <w:rPr>
        <w:rFonts w:hint="default" w:ascii="Wingdings" w:hAnsi="Wingdings"/>
      </w:rPr>
    </w:lvl>
    <w:lvl w:ilvl="3" w:tplc="C6568038">
      <w:start w:val="1"/>
      <w:numFmt w:val="bullet"/>
      <w:lvlText w:val=""/>
      <w:lvlJc w:val="left"/>
      <w:pPr>
        <w:ind w:left="3600" w:hanging="360"/>
      </w:pPr>
      <w:rPr>
        <w:rFonts w:hint="default" w:ascii="Symbol" w:hAnsi="Symbol"/>
      </w:rPr>
    </w:lvl>
    <w:lvl w:ilvl="4" w:tplc="8B20F224">
      <w:start w:val="1"/>
      <w:numFmt w:val="bullet"/>
      <w:lvlText w:val="o"/>
      <w:lvlJc w:val="left"/>
      <w:pPr>
        <w:ind w:left="4320" w:hanging="360"/>
      </w:pPr>
      <w:rPr>
        <w:rFonts w:hint="default" w:ascii="Courier New" w:hAnsi="Courier New" w:cs="Courier New"/>
      </w:rPr>
    </w:lvl>
    <w:lvl w:ilvl="5" w:tplc="043A6CE2">
      <w:start w:val="1"/>
      <w:numFmt w:val="bullet"/>
      <w:lvlText w:val=""/>
      <w:lvlJc w:val="left"/>
      <w:pPr>
        <w:ind w:left="5040" w:hanging="360"/>
      </w:pPr>
      <w:rPr>
        <w:rFonts w:hint="default" w:ascii="Wingdings" w:hAnsi="Wingdings"/>
      </w:rPr>
    </w:lvl>
    <w:lvl w:ilvl="6" w:tplc="7300235C">
      <w:start w:val="1"/>
      <w:numFmt w:val="bullet"/>
      <w:lvlText w:val=""/>
      <w:lvlJc w:val="left"/>
      <w:pPr>
        <w:ind w:left="5760" w:hanging="360"/>
      </w:pPr>
      <w:rPr>
        <w:rFonts w:hint="default" w:ascii="Symbol" w:hAnsi="Symbol"/>
      </w:rPr>
    </w:lvl>
    <w:lvl w:ilvl="7" w:tplc="D3F883F6">
      <w:start w:val="1"/>
      <w:numFmt w:val="bullet"/>
      <w:lvlText w:val="o"/>
      <w:lvlJc w:val="left"/>
      <w:pPr>
        <w:ind w:left="6480" w:hanging="360"/>
      </w:pPr>
      <w:rPr>
        <w:rFonts w:hint="default" w:ascii="Courier New" w:hAnsi="Courier New" w:cs="Courier New"/>
      </w:rPr>
    </w:lvl>
    <w:lvl w:ilvl="8" w:tplc="D31C69AC">
      <w:start w:val="1"/>
      <w:numFmt w:val="bullet"/>
      <w:lvlText w:val=""/>
      <w:lvlJc w:val="left"/>
      <w:pPr>
        <w:ind w:left="7200" w:hanging="360"/>
      </w:pPr>
      <w:rPr>
        <w:rFonts w:hint="default" w:ascii="Wingdings" w:hAnsi="Wingdings"/>
      </w:rPr>
    </w:lvl>
  </w:abstractNum>
  <w:abstractNum w:abstractNumId="6">
    <w:multiLevelType w:val="hybridMultilevel"/>
    <w:lvl w:ilvl="0" w:tplc="A2D2D8D4">
      <w:start w:val="2"/>
      <w:numFmt w:val="decimal"/>
      <w:lvlText w:val="%1."/>
      <w:lvlJc w:val="left"/>
      <w:pPr>
        <w:tabs>
          <w:tab w:val="num" w:pos="975"/>
        </w:tabs>
        <w:ind w:left="975" w:hanging="615"/>
      </w:pPr>
      <w:rPr>
        <w:rFonts w:hint="default"/>
        <w:b w:val="0"/>
      </w:rPr>
    </w:lvl>
    <w:lvl w:ilvl="1" w:tplc="D022552C">
      <w:start w:val="1"/>
      <w:numFmt w:val="lowerLetter"/>
      <w:lvlText w:val="%2."/>
      <w:lvlJc w:val="left"/>
      <w:pPr>
        <w:tabs>
          <w:tab w:val="num" w:pos="1440"/>
        </w:tabs>
        <w:ind w:left="1440" w:hanging="360"/>
      </w:pPr>
    </w:lvl>
    <w:lvl w:ilvl="2" w:tplc="0E6234CC">
      <w:start w:val="1"/>
      <w:numFmt w:val="lowerRoman"/>
      <w:lvlText w:val="%3."/>
      <w:lvlJc w:val="right"/>
      <w:pPr>
        <w:tabs>
          <w:tab w:val="num" w:pos="2160"/>
        </w:tabs>
        <w:ind w:left="2160" w:hanging="180"/>
      </w:pPr>
    </w:lvl>
    <w:lvl w:ilvl="3" w:tplc="E6B654DE">
      <w:start w:val="1"/>
      <w:numFmt w:val="decimal"/>
      <w:lvlText w:val="%4."/>
      <w:lvlJc w:val="left"/>
      <w:pPr>
        <w:tabs>
          <w:tab w:val="num" w:pos="2880"/>
        </w:tabs>
        <w:ind w:left="2880" w:hanging="360"/>
      </w:pPr>
    </w:lvl>
    <w:lvl w:ilvl="4" w:tplc="2960B8F8">
      <w:start w:val="1"/>
      <w:numFmt w:val="lowerLetter"/>
      <w:lvlText w:val="%5."/>
      <w:lvlJc w:val="left"/>
      <w:pPr>
        <w:tabs>
          <w:tab w:val="num" w:pos="3600"/>
        </w:tabs>
        <w:ind w:left="3600" w:hanging="360"/>
      </w:pPr>
    </w:lvl>
    <w:lvl w:ilvl="5" w:tplc="72222738">
      <w:start w:val="1"/>
      <w:numFmt w:val="lowerRoman"/>
      <w:lvlText w:val="%6."/>
      <w:lvlJc w:val="right"/>
      <w:pPr>
        <w:tabs>
          <w:tab w:val="num" w:pos="4320"/>
        </w:tabs>
        <w:ind w:left="4320" w:hanging="180"/>
      </w:pPr>
    </w:lvl>
    <w:lvl w:ilvl="6" w:tplc="E3585BEE">
      <w:start w:val="1"/>
      <w:numFmt w:val="decimal"/>
      <w:lvlText w:val="%7."/>
      <w:lvlJc w:val="left"/>
      <w:pPr>
        <w:tabs>
          <w:tab w:val="num" w:pos="5040"/>
        </w:tabs>
        <w:ind w:left="5040" w:hanging="360"/>
      </w:pPr>
    </w:lvl>
    <w:lvl w:ilvl="7" w:tplc="0C546C14">
      <w:start w:val="1"/>
      <w:numFmt w:val="lowerLetter"/>
      <w:lvlText w:val="%8."/>
      <w:lvlJc w:val="left"/>
      <w:pPr>
        <w:tabs>
          <w:tab w:val="num" w:pos="5760"/>
        </w:tabs>
        <w:ind w:left="5760" w:hanging="360"/>
      </w:pPr>
    </w:lvl>
    <w:lvl w:ilvl="8" w:tplc="963AAD36">
      <w:start w:val="1"/>
      <w:numFmt w:val="lowerRoman"/>
      <w:lvlText w:val="%9."/>
      <w:lvlJc w:val="right"/>
      <w:pPr>
        <w:tabs>
          <w:tab w:val="num" w:pos="6480"/>
        </w:tabs>
        <w:ind w:left="6480" w:hanging="180"/>
      </w:pPr>
    </w:lvl>
  </w:abstractNum>
  <w:abstractNum w:abstractNumId="7">
    <w:multiLevelType w:val="hybridMultilevel"/>
    <w:lvl w:ilvl="0" w:tplc="0F323F64">
      <w:start w:val="1"/>
      <w:numFmt w:val="bullet"/>
      <w:lvlText w:val=""/>
      <w:lvlJc w:val="left"/>
      <w:pPr>
        <w:ind w:left="1440" w:hanging="360"/>
      </w:pPr>
      <w:rPr>
        <w:rFonts w:hint="default" w:ascii="Symbol" w:hAnsi="Symbol"/>
      </w:rPr>
    </w:lvl>
    <w:lvl w:ilvl="1" w:tplc="6A7C9618">
      <w:start w:val="1"/>
      <w:numFmt w:val="bullet"/>
      <w:lvlText w:val="o"/>
      <w:lvlJc w:val="left"/>
      <w:pPr>
        <w:ind w:left="2160" w:hanging="360"/>
      </w:pPr>
      <w:rPr>
        <w:rFonts w:hint="default" w:ascii="Courier New" w:hAnsi="Courier New" w:cs="Courier New"/>
      </w:rPr>
    </w:lvl>
    <w:lvl w:ilvl="2" w:tplc="B160614C">
      <w:start w:val="1"/>
      <w:numFmt w:val="bullet"/>
      <w:lvlText w:val=""/>
      <w:lvlJc w:val="left"/>
      <w:pPr>
        <w:ind w:left="2880" w:hanging="360"/>
      </w:pPr>
      <w:rPr>
        <w:rFonts w:hint="default" w:ascii="Wingdings" w:hAnsi="Wingdings"/>
      </w:rPr>
    </w:lvl>
    <w:lvl w:ilvl="3" w:tplc="0122CDC6">
      <w:start w:val="1"/>
      <w:numFmt w:val="bullet"/>
      <w:lvlText w:val=""/>
      <w:lvlJc w:val="left"/>
      <w:pPr>
        <w:ind w:left="3600" w:hanging="360"/>
      </w:pPr>
      <w:rPr>
        <w:rFonts w:hint="default" w:ascii="Symbol" w:hAnsi="Symbol"/>
      </w:rPr>
    </w:lvl>
    <w:lvl w:ilvl="4" w:tplc="C93462F8">
      <w:start w:val="1"/>
      <w:numFmt w:val="bullet"/>
      <w:lvlText w:val="o"/>
      <w:lvlJc w:val="left"/>
      <w:pPr>
        <w:ind w:left="4320" w:hanging="360"/>
      </w:pPr>
      <w:rPr>
        <w:rFonts w:hint="default" w:ascii="Courier New" w:hAnsi="Courier New" w:cs="Courier New"/>
      </w:rPr>
    </w:lvl>
    <w:lvl w:ilvl="5" w:tplc="4D0E7C3E">
      <w:start w:val="1"/>
      <w:numFmt w:val="bullet"/>
      <w:lvlText w:val=""/>
      <w:lvlJc w:val="left"/>
      <w:pPr>
        <w:ind w:left="5040" w:hanging="360"/>
      </w:pPr>
      <w:rPr>
        <w:rFonts w:hint="default" w:ascii="Wingdings" w:hAnsi="Wingdings"/>
      </w:rPr>
    </w:lvl>
    <w:lvl w:ilvl="6" w:tplc="E5A69836">
      <w:start w:val="1"/>
      <w:numFmt w:val="bullet"/>
      <w:lvlText w:val=""/>
      <w:lvlJc w:val="left"/>
      <w:pPr>
        <w:ind w:left="5760" w:hanging="360"/>
      </w:pPr>
      <w:rPr>
        <w:rFonts w:hint="default" w:ascii="Symbol" w:hAnsi="Symbol"/>
      </w:rPr>
    </w:lvl>
    <w:lvl w:ilvl="7" w:tplc="F536CC2E">
      <w:start w:val="1"/>
      <w:numFmt w:val="bullet"/>
      <w:lvlText w:val="o"/>
      <w:lvlJc w:val="left"/>
      <w:pPr>
        <w:ind w:left="6480" w:hanging="360"/>
      </w:pPr>
      <w:rPr>
        <w:rFonts w:hint="default" w:ascii="Courier New" w:hAnsi="Courier New" w:cs="Courier New"/>
      </w:rPr>
    </w:lvl>
    <w:lvl w:ilvl="8" w:tplc="8C12EFBA">
      <w:start w:val="1"/>
      <w:numFmt w:val="bullet"/>
      <w:lvlText w:val=""/>
      <w:lvlJc w:val="left"/>
      <w:pPr>
        <w:ind w:left="7200" w:hanging="360"/>
      </w:pPr>
      <w:rPr>
        <w:rFonts w:hint="default" w:ascii="Wingdings" w:hAnsi="Wingdings"/>
      </w:rPr>
    </w:lvl>
  </w:abstractNum>
  <w:abstractNum w:abstractNumId="8">
    <w:multiLevelType w:val="hybridMultilevel"/>
    <w:lvl w:ilvl="0" w:tplc="5F48AC52">
      <w:start w:val="1"/>
      <w:numFmt w:val="bullet"/>
      <w:lvlText w:val=""/>
      <w:lvlJc w:val="left"/>
      <w:pPr>
        <w:ind w:left="1211" w:hanging="360"/>
      </w:pPr>
      <w:rPr>
        <w:rFonts w:hint="default" w:ascii="Wingdings" w:hAnsi="Wingdings"/>
      </w:rPr>
    </w:lvl>
    <w:lvl w:ilvl="1" w:tplc="57629B6C">
      <w:start w:val="1"/>
      <w:numFmt w:val="bullet"/>
      <w:lvlText w:val="o"/>
      <w:lvlJc w:val="left"/>
      <w:pPr>
        <w:ind w:left="2007" w:hanging="360"/>
      </w:pPr>
      <w:rPr>
        <w:rFonts w:hint="default" w:ascii="Courier New" w:hAnsi="Courier New" w:cs="Courier New"/>
      </w:rPr>
    </w:lvl>
    <w:lvl w:ilvl="2" w:tplc="E4B69C98">
      <w:start w:val="1"/>
      <w:numFmt w:val="bullet"/>
      <w:lvlText w:val=""/>
      <w:lvlJc w:val="left"/>
      <w:pPr>
        <w:ind w:left="2727" w:hanging="360"/>
      </w:pPr>
      <w:rPr>
        <w:rFonts w:hint="default" w:ascii="Wingdings" w:hAnsi="Wingdings"/>
      </w:rPr>
    </w:lvl>
    <w:lvl w:ilvl="3" w:tplc="F87679D8">
      <w:start w:val="1"/>
      <w:numFmt w:val="bullet"/>
      <w:lvlText w:val=""/>
      <w:lvlJc w:val="left"/>
      <w:pPr>
        <w:ind w:left="3447" w:hanging="360"/>
      </w:pPr>
      <w:rPr>
        <w:rFonts w:hint="default" w:ascii="Symbol" w:hAnsi="Symbol"/>
      </w:rPr>
    </w:lvl>
    <w:lvl w:ilvl="4" w:tplc="FA6CA204">
      <w:start w:val="1"/>
      <w:numFmt w:val="bullet"/>
      <w:lvlText w:val="o"/>
      <w:lvlJc w:val="left"/>
      <w:pPr>
        <w:ind w:left="4167" w:hanging="360"/>
      </w:pPr>
      <w:rPr>
        <w:rFonts w:hint="default" w:ascii="Courier New" w:hAnsi="Courier New" w:cs="Courier New"/>
      </w:rPr>
    </w:lvl>
    <w:lvl w:ilvl="5" w:tplc="E01298E2">
      <w:start w:val="1"/>
      <w:numFmt w:val="bullet"/>
      <w:lvlText w:val=""/>
      <w:lvlJc w:val="left"/>
      <w:pPr>
        <w:ind w:left="4887" w:hanging="360"/>
      </w:pPr>
      <w:rPr>
        <w:rFonts w:hint="default" w:ascii="Wingdings" w:hAnsi="Wingdings"/>
      </w:rPr>
    </w:lvl>
    <w:lvl w:ilvl="6" w:tplc="8A86C420">
      <w:start w:val="1"/>
      <w:numFmt w:val="bullet"/>
      <w:lvlText w:val=""/>
      <w:lvlJc w:val="left"/>
      <w:pPr>
        <w:ind w:left="5607" w:hanging="360"/>
      </w:pPr>
      <w:rPr>
        <w:rFonts w:hint="default" w:ascii="Symbol" w:hAnsi="Symbol"/>
      </w:rPr>
    </w:lvl>
    <w:lvl w:ilvl="7" w:tplc="797E39D0">
      <w:start w:val="1"/>
      <w:numFmt w:val="bullet"/>
      <w:lvlText w:val="o"/>
      <w:lvlJc w:val="left"/>
      <w:pPr>
        <w:ind w:left="6327" w:hanging="360"/>
      </w:pPr>
      <w:rPr>
        <w:rFonts w:hint="default" w:ascii="Courier New" w:hAnsi="Courier New" w:cs="Courier New"/>
      </w:rPr>
    </w:lvl>
    <w:lvl w:ilvl="8" w:tplc="424826E0">
      <w:start w:val="1"/>
      <w:numFmt w:val="bullet"/>
      <w:lvlText w:val=""/>
      <w:lvlJc w:val="left"/>
      <w:pPr>
        <w:ind w:left="7047" w:hanging="360"/>
      </w:pPr>
      <w:rPr>
        <w:rFonts w:hint="default" w:ascii="Wingdings" w:hAnsi="Wingdings"/>
      </w:rPr>
    </w:lvl>
  </w:abstractNum>
  <w:abstractNum w:abstractNumId="9">
    <w:multiLevelType w:val="hybridMultilevel"/>
    <w:lvl w:ilvl="0" w:tplc="A9AE2A38">
      <w:start w:val="1"/>
      <w:numFmt w:val="bullet"/>
      <w:lvlText w:val="·"/>
      <w:lvlJc w:val="left"/>
      <w:pPr>
        <w:ind w:left="709" w:hanging="360"/>
      </w:pPr>
      <w:rPr>
        <w:rFonts w:hint="default" w:ascii="Symbol" w:hAnsi="Symbol" w:eastAsia="Symbol" w:cs="Symbol"/>
        <w:color w:val="333333"/>
        <w:sz w:val="21"/>
      </w:rPr>
    </w:lvl>
    <w:lvl w:ilvl="1" w:tplc="1018DB70">
      <w:start w:val="1"/>
      <w:numFmt w:val="bullet"/>
      <w:lvlText w:val="·"/>
      <w:lvlJc w:val="left"/>
      <w:pPr>
        <w:ind w:left="1429" w:hanging="360"/>
      </w:pPr>
      <w:rPr>
        <w:rFonts w:hint="default" w:ascii="Symbol" w:hAnsi="Symbol" w:eastAsia="Symbol" w:cs="Symbol"/>
        <w:color w:val="333333"/>
        <w:sz w:val="21"/>
      </w:rPr>
    </w:lvl>
    <w:lvl w:ilvl="2" w:tplc="FC921610">
      <w:start w:val="1"/>
      <w:numFmt w:val="bullet"/>
      <w:lvlText w:val="·"/>
      <w:lvlJc w:val="left"/>
      <w:pPr>
        <w:ind w:left="2149" w:hanging="360"/>
      </w:pPr>
      <w:rPr>
        <w:rFonts w:hint="default" w:ascii="Symbol" w:hAnsi="Symbol" w:eastAsia="Symbol" w:cs="Symbol"/>
        <w:color w:val="333333"/>
        <w:sz w:val="21"/>
      </w:rPr>
    </w:lvl>
    <w:lvl w:ilvl="3" w:tplc="E00CE09A">
      <w:start w:val="1"/>
      <w:numFmt w:val="bullet"/>
      <w:lvlText w:val="·"/>
      <w:lvlJc w:val="left"/>
      <w:pPr>
        <w:ind w:left="2869" w:hanging="360"/>
      </w:pPr>
      <w:rPr>
        <w:rFonts w:hint="default" w:ascii="Symbol" w:hAnsi="Symbol" w:eastAsia="Symbol" w:cs="Symbol"/>
        <w:color w:val="333333"/>
        <w:sz w:val="21"/>
      </w:rPr>
    </w:lvl>
    <w:lvl w:ilvl="4" w:tplc="F7EEED56">
      <w:start w:val="1"/>
      <w:numFmt w:val="bullet"/>
      <w:lvlText w:val="·"/>
      <w:lvlJc w:val="left"/>
      <w:pPr>
        <w:ind w:left="3589" w:hanging="360"/>
      </w:pPr>
      <w:rPr>
        <w:rFonts w:hint="default" w:ascii="Symbol" w:hAnsi="Symbol" w:eastAsia="Symbol" w:cs="Symbol"/>
        <w:color w:val="333333"/>
        <w:sz w:val="21"/>
      </w:rPr>
    </w:lvl>
    <w:lvl w:ilvl="5" w:tplc="9816F9DE">
      <w:start w:val="1"/>
      <w:numFmt w:val="bullet"/>
      <w:lvlText w:val="·"/>
      <w:lvlJc w:val="left"/>
      <w:pPr>
        <w:ind w:left="4309" w:hanging="360"/>
      </w:pPr>
      <w:rPr>
        <w:rFonts w:hint="default" w:ascii="Symbol" w:hAnsi="Symbol" w:eastAsia="Symbol" w:cs="Symbol"/>
        <w:color w:val="333333"/>
        <w:sz w:val="21"/>
      </w:rPr>
    </w:lvl>
    <w:lvl w:ilvl="6" w:tplc="66009C8C">
      <w:start w:val="1"/>
      <w:numFmt w:val="bullet"/>
      <w:lvlText w:val="·"/>
      <w:lvlJc w:val="left"/>
      <w:pPr>
        <w:ind w:left="5029" w:hanging="360"/>
      </w:pPr>
      <w:rPr>
        <w:rFonts w:hint="default" w:ascii="Symbol" w:hAnsi="Symbol" w:eastAsia="Symbol" w:cs="Symbol"/>
        <w:color w:val="333333"/>
        <w:sz w:val="21"/>
      </w:rPr>
    </w:lvl>
    <w:lvl w:ilvl="7" w:tplc="30187856">
      <w:start w:val="1"/>
      <w:numFmt w:val="bullet"/>
      <w:lvlText w:val="·"/>
      <w:lvlJc w:val="left"/>
      <w:pPr>
        <w:ind w:left="5749" w:hanging="360"/>
      </w:pPr>
      <w:rPr>
        <w:rFonts w:hint="default" w:ascii="Symbol" w:hAnsi="Symbol" w:eastAsia="Symbol" w:cs="Symbol"/>
        <w:color w:val="333333"/>
        <w:sz w:val="21"/>
      </w:rPr>
    </w:lvl>
    <w:lvl w:ilvl="8" w:tplc="E18094D2">
      <w:start w:val="1"/>
      <w:numFmt w:val="bullet"/>
      <w:lvlText w:val="·"/>
      <w:lvlJc w:val="left"/>
      <w:pPr>
        <w:ind w:left="6469" w:hanging="360"/>
      </w:pPr>
      <w:rPr>
        <w:rFonts w:hint="default" w:ascii="Symbol" w:hAnsi="Symbol" w:eastAsia="Symbol" w:cs="Symbol"/>
        <w:color w:val="333333"/>
        <w:sz w:val="21"/>
      </w:rPr>
    </w:lvl>
  </w:abstractNum>
  <w:abstractNum w:abstractNumId="10">
    <w:multiLevelType w:val="hybridMultilevel"/>
    <w:lvl w:ilvl="0" w:tplc="0FAEFB30">
      <w:start w:val="1"/>
      <w:numFmt w:val="decimal"/>
      <w:lvlText w:val="%1)"/>
      <w:lvlJc w:val="left"/>
      <w:pPr>
        <w:ind w:left="1211" w:hanging="360"/>
      </w:pPr>
      <w:rPr>
        <w:rFonts w:hint="default"/>
      </w:rPr>
    </w:lvl>
    <w:lvl w:ilvl="1" w:tplc="174E6A2A">
      <w:start w:val="1"/>
      <w:numFmt w:val="lowerLetter"/>
      <w:lvlText w:val="%2."/>
      <w:lvlJc w:val="left"/>
      <w:pPr>
        <w:ind w:left="1931" w:hanging="360"/>
      </w:pPr>
    </w:lvl>
    <w:lvl w:ilvl="2" w:tplc="30CAFCEA">
      <w:start w:val="1"/>
      <w:numFmt w:val="lowerRoman"/>
      <w:lvlText w:val="%3."/>
      <w:lvlJc w:val="right"/>
      <w:pPr>
        <w:ind w:left="2651" w:hanging="180"/>
      </w:pPr>
    </w:lvl>
    <w:lvl w:ilvl="3" w:tplc="410A74D2">
      <w:start w:val="1"/>
      <w:numFmt w:val="decimal"/>
      <w:lvlText w:val="%4."/>
      <w:lvlJc w:val="left"/>
      <w:pPr>
        <w:ind w:left="3371" w:hanging="360"/>
      </w:pPr>
    </w:lvl>
    <w:lvl w:ilvl="4" w:tplc="1E74C212">
      <w:start w:val="1"/>
      <w:numFmt w:val="lowerLetter"/>
      <w:lvlText w:val="%5."/>
      <w:lvlJc w:val="left"/>
      <w:pPr>
        <w:ind w:left="4091" w:hanging="360"/>
      </w:pPr>
    </w:lvl>
    <w:lvl w:ilvl="5" w:tplc="A956D8F4">
      <w:start w:val="1"/>
      <w:numFmt w:val="lowerRoman"/>
      <w:lvlText w:val="%6."/>
      <w:lvlJc w:val="right"/>
      <w:pPr>
        <w:ind w:left="4811" w:hanging="180"/>
      </w:pPr>
    </w:lvl>
    <w:lvl w:ilvl="6" w:tplc="8528CD5E">
      <w:start w:val="1"/>
      <w:numFmt w:val="decimal"/>
      <w:lvlText w:val="%7."/>
      <w:lvlJc w:val="left"/>
      <w:pPr>
        <w:ind w:left="5531" w:hanging="360"/>
      </w:pPr>
    </w:lvl>
    <w:lvl w:ilvl="7" w:tplc="23864710">
      <w:start w:val="1"/>
      <w:numFmt w:val="lowerLetter"/>
      <w:lvlText w:val="%8."/>
      <w:lvlJc w:val="left"/>
      <w:pPr>
        <w:ind w:left="6251" w:hanging="360"/>
      </w:pPr>
    </w:lvl>
    <w:lvl w:ilvl="8" w:tplc="94782C48">
      <w:start w:val="1"/>
      <w:numFmt w:val="lowerRoman"/>
      <w:lvlText w:val="%9."/>
      <w:lvlJc w:val="right"/>
      <w:pPr>
        <w:ind w:left="6971" w:hanging="180"/>
      </w:pPr>
    </w:lvl>
  </w:abstractNum>
  <w:abstractNum w:abstractNumId="11">
    <w:multiLevelType w:val="hybridMultilevel"/>
    <w:lvl w:ilvl="0">
      <w:start w:val="1"/>
      <w:numFmt w:val="decimal"/>
      <w:lvlText w:val="%1."/>
      <w:lvlJc w:val="left"/>
      <w:pPr>
        <w:ind w:left="432" w:hanging="432"/>
      </w:pPr>
      <w:rPr>
        <w:rFonts w:hint="default"/>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multiLevelType w:val="hybridMultilevel"/>
    <w:lvl w:ilvl="0" w:tplc="1ABC0482">
      <w:start w:val="1"/>
      <w:numFmt w:val="decimal"/>
      <w:lvlText w:val="%1."/>
      <w:lvlJc w:val="left"/>
      <w:pPr>
        <w:tabs>
          <w:tab w:val="num" w:pos="735"/>
        </w:tabs>
        <w:ind w:left="735" w:hanging="375"/>
      </w:pPr>
      <w:rPr>
        <w:rFonts w:hint="default"/>
      </w:rPr>
    </w:lvl>
    <w:lvl w:ilvl="1" w:tplc="6DD4DB48">
      <w:start w:val="1"/>
      <w:numFmt w:val="lowerLetter"/>
      <w:lvlText w:val="%2."/>
      <w:lvlJc w:val="left"/>
      <w:pPr>
        <w:tabs>
          <w:tab w:val="num" w:pos="1440"/>
        </w:tabs>
        <w:ind w:left="1440" w:hanging="360"/>
      </w:pPr>
    </w:lvl>
    <w:lvl w:ilvl="2" w:tplc="04488F66">
      <w:start w:val="1"/>
      <w:numFmt w:val="lowerRoman"/>
      <w:lvlText w:val="%3."/>
      <w:lvlJc w:val="right"/>
      <w:pPr>
        <w:tabs>
          <w:tab w:val="num" w:pos="2160"/>
        </w:tabs>
        <w:ind w:left="2160" w:hanging="180"/>
      </w:pPr>
    </w:lvl>
    <w:lvl w:ilvl="3" w:tplc="E0EE8E4A">
      <w:start w:val="1"/>
      <w:numFmt w:val="decimal"/>
      <w:lvlText w:val="%4."/>
      <w:lvlJc w:val="left"/>
      <w:pPr>
        <w:tabs>
          <w:tab w:val="num" w:pos="2880"/>
        </w:tabs>
        <w:ind w:left="2880" w:hanging="360"/>
      </w:pPr>
    </w:lvl>
    <w:lvl w:ilvl="4" w:tplc="180AB03C">
      <w:start w:val="1"/>
      <w:numFmt w:val="lowerLetter"/>
      <w:lvlText w:val="%5."/>
      <w:lvlJc w:val="left"/>
      <w:pPr>
        <w:tabs>
          <w:tab w:val="num" w:pos="3600"/>
        </w:tabs>
        <w:ind w:left="3600" w:hanging="360"/>
      </w:pPr>
    </w:lvl>
    <w:lvl w:ilvl="5" w:tplc="8DF8CD54">
      <w:start w:val="1"/>
      <w:numFmt w:val="lowerRoman"/>
      <w:lvlText w:val="%6."/>
      <w:lvlJc w:val="right"/>
      <w:pPr>
        <w:tabs>
          <w:tab w:val="num" w:pos="4320"/>
        </w:tabs>
        <w:ind w:left="4320" w:hanging="180"/>
      </w:pPr>
    </w:lvl>
    <w:lvl w:ilvl="6" w:tplc="86F2975C">
      <w:start w:val="1"/>
      <w:numFmt w:val="decimal"/>
      <w:lvlText w:val="%7."/>
      <w:lvlJc w:val="left"/>
      <w:pPr>
        <w:tabs>
          <w:tab w:val="num" w:pos="5040"/>
        </w:tabs>
        <w:ind w:left="5040" w:hanging="360"/>
      </w:pPr>
    </w:lvl>
    <w:lvl w:ilvl="7" w:tplc="40F4572A">
      <w:start w:val="1"/>
      <w:numFmt w:val="lowerLetter"/>
      <w:lvlText w:val="%8."/>
      <w:lvlJc w:val="left"/>
      <w:pPr>
        <w:tabs>
          <w:tab w:val="num" w:pos="5760"/>
        </w:tabs>
        <w:ind w:left="5760" w:hanging="360"/>
      </w:pPr>
    </w:lvl>
    <w:lvl w:ilvl="8" w:tplc="6B4E040C">
      <w:start w:val="1"/>
      <w:numFmt w:val="lowerRoman"/>
      <w:lvlText w:val="%9."/>
      <w:lvlJc w:val="right"/>
      <w:pPr>
        <w:tabs>
          <w:tab w:val="num" w:pos="6480"/>
        </w:tabs>
        <w:ind w:left="6480" w:hanging="180"/>
      </w:pPr>
    </w:lvl>
  </w:abstractNum>
  <w:abstractNum w:abstractNumId="13">
    <w:multiLevelType w:val="hybridMultilevel"/>
    <w:lvl w:ilvl="0" w:tplc="A6D0E594">
      <w:start w:val="8"/>
      <w:numFmt w:val="decimal"/>
      <w:lvlText w:val="%1."/>
      <w:lvlJc w:val="left"/>
      <w:pPr>
        <w:ind w:left="1080" w:hanging="360"/>
      </w:pPr>
      <w:rPr>
        <w:rFonts w:hint="default"/>
        <w:b/>
      </w:rPr>
    </w:lvl>
    <w:lvl w:ilvl="1" w:tplc="02E66B06">
      <w:start w:val="1"/>
      <w:numFmt w:val="lowerLetter"/>
      <w:lvlText w:val="%2."/>
      <w:lvlJc w:val="left"/>
      <w:pPr>
        <w:ind w:left="1800" w:hanging="360"/>
      </w:pPr>
    </w:lvl>
    <w:lvl w:ilvl="2" w:tplc="5AC24BFA">
      <w:start w:val="1"/>
      <w:numFmt w:val="lowerRoman"/>
      <w:lvlText w:val="%3."/>
      <w:lvlJc w:val="right"/>
      <w:pPr>
        <w:ind w:left="2520" w:hanging="180"/>
      </w:pPr>
    </w:lvl>
    <w:lvl w:ilvl="3" w:tplc="1718597E">
      <w:start w:val="1"/>
      <w:numFmt w:val="decimal"/>
      <w:lvlText w:val="%4."/>
      <w:lvlJc w:val="left"/>
      <w:pPr>
        <w:ind w:left="3240" w:hanging="360"/>
      </w:pPr>
    </w:lvl>
    <w:lvl w:ilvl="4" w:tplc="B5028466">
      <w:start w:val="1"/>
      <w:numFmt w:val="lowerLetter"/>
      <w:lvlText w:val="%5."/>
      <w:lvlJc w:val="left"/>
      <w:pPr>
        <w:ind w:left="3960" w:hanging="360"/>
      </w:pPr>
    </w:lvl>
    <w:lvl w:ilvl="5" w:tplc="C35C298E">
      <w:start w:val="1"/>
      <w:numFmt w:val="lowerRoman"/>
      <w:lvlText w:val="%6."/>
      <w:lvlJc w:val="right"/>
      <w:pPr>
        <w:ind w:left="4680" w:hanging="180"/>
      </w:pPr>
    </w:lvl>
    <w:lvl w:ilvl="6" w:tplc="83724BD2">
      <w:start w:val="1"/>
      <w:numFmt w:val="decimal"/>
      <w:lvlText w:val="%7."/>
      <w:lvlJc w:val="left"/>
      <w:pPr>
        <w:ind w:left="5400" w:hanging="360"/>
      </w:pPr>
    </w:lvl>
    <w:lvl w:ilvl="7" w:tplc="1EEA74AC">
      <w:start w:val="1"/>
      <w:numFmt w:val="lowerLetter"/>
      <w:lvlText w:val="%8."/>
      <w:lvlJc w:val="left"/>
      <w:pPr>
        <w:ind w:left="6120" w:hanging="360"/>
      </w:pPr>
    </w:lvl>
    <w:lvl w:ilvl="8" w:tplc="7A3CEDC4">
      <w:start w:val="1"/>
      <w:numFmt w:val="lowerRoman"/>
      <w:lvlText w:val="%9."/>
      <w:lvlJc w:val="right"/>
      <w:pPr>
        <w:ind w:left="6840" w:hanging="180"/>
      </w:pPr>
    </w:lvl>
  </w:abstractNum>
  <w:abstractNum w:abstractNumId="14">
    <w:multiLevelType w:val="hybridMultilevel"/>
    <w:lvl w:ilvl="0" w:tplc="4A0628E0">
      <w:start w:val="2"/>
      <w:numFmt w:val="decimal"/>
      <w:lvlText w:val="%1."/>
      <w:lvlJc w:val="left"/>
      <w:pPr>
        <w:tabs>
          <w:tab w:val="num" w:pos="975"/>
        </w:tabs>
        <w:ind w:left="975" w:hanging="615"/>
      </w:pPr>
      <w:rPr>
        <w:rFonts w:hint="default"/>
        <w:b w:val="0"/>
      </w:rPr>
    </w:lvl>
    <w:lvl w:ilvl="1" w:tplc="93C691E8">
      <w:start w:val="1"/>
      <w:numFmt w:val="lowerLetter"/>
      <w:lvlText w:val="%2."/>
      <w:lvlJc w:val="left"/>
      <w:pPr>
        <w:tabs>
          <w:tab w:val="num" w:pos="1440"/>
        </w:tabs>
        <w:ind w:left="1440" w:hanging="360"/>
      </w:pPr>
    </w:lvl>
    <w:lvl w:ilvl="2" w:tplc="F00EFD46">
      <w:start w:val="1"/>
      <w:numFmt w:val="lowerRoman"/>
      <w:lvlText w:val="%3."/>
      <w:lvlJc w:val="right"/>
      <w:pPr>
        <w:tabs>
          <w:tab w:val="num" w:pos="2160"/>
        </w:tabs>
        <w:ind w:left="2160" w:hanging="180"/>
      </w:pPr>
    </w:lvl>
    <w:lvl w:ilvl="3" w:tplc="3196C44A">
      <w:start w:val="1"/>
      <w:numFmt w:val="decimal"/>
      <w:lvlText w:val="%4."/>
      <w:lvlJc w:val="left"/>
      <w:pPr>
        <w:tabs>
          <w:tab w:val="num" w:pos="2880"/>
        </w:tabs>
        <w:ind w:left="2880" w:hanging="360"/>
      </w:pPr>
    </w:lvl>
    <w:lvl w:ilvl="4" w:tplc="07DCE2FE">
      <w:start w:val="1"/>
      <w:numFmt w:val="lowerLetter"/>
      <w:lvlText w:val="%5."/>
      <w:lvlJc w:val="left"/>
      <w:pPr>
        <w:tabs>
          <w:tab w:val="num" w:pos="3600"/>
        </w:tabs>
        <w:ind w:left="3600" w:hanging="360"/>
      </w:pPr>
    </w:lvl>
    <w:lvl w:ilvl="5" w:tplc="BD3C6162">
      <w:start w:val="1"/>
      <w:numFmt w:val="lowerRoman"/>
      <w:lvlText w:val="%6."/>
      <w:lvlJc w:val="right"/>
      <w:pPr>
        <w:tabs>
          <w:tab w:val="num" w:pos="4320"/>
        </w:tabs>
        <w:ind w:left="4320" w:hanging="180"/>
      </w:pPr>
    </w:lvl>
    <w:lvl w:ilvl="6" w:tplc="8884AAA0">
      <w:start w:val="1"/>
      <w:numFmt w:val="decimal"/>
      <w:lvlText w:val="%7."/>
      <w:lvlJc w:val="left"/>
      <w:pPr>
        <w:tabs>
          <w:tab w:val="num" w:pos="5040"/>
        </w:tabs>
        <w:ind w:left="5040" w:hanging="360"/>
      </w:pPr>
    </w:lvl>
    <w:lvl w:ilvl="7" w:tplc="672A1FDE">
      <w:start w:val="1"/>
      <w:numFmt w:val="lowerLetter"/>
      <w:lvlText w:val="%8."/>
      <w:lvlJc w:val="left"/>
      <w:pPr>
        <w:tabs>
          <w:tab w:val="num" w:pos="5760"/>
        </w:tabs>
        <w:ind w:left="5760" w:hanging="360"/>
      </w:pPr>
    </w:lvl>
    <w:lvl w:ilvl="8" w:tplc="C7D01804">
      <w:start w:val="1"/>
      <w:numFmt w:val="lowerRoman"/>
      <w:lvlText w:val="%9."/>
      <w:lvlJc w:val="right"/>
      <w:pPr>
        <w:tabs>
          <w:tab w:val="num" w:pos="6480"/>
        </w:tabs>
        <w:ind w:left="6480" w:hanging="180"/>
      </w:pPr>
    </w:lvl>
  </w:abstractNum>
  <w:abstractNum w:abstractNumId="15">
    <w:multiLevelType w:val="hybridMultilevel"/>
    <w:lvl w:ilvl="0" w:tplc="AC360C48">
      <w:start w:val="1"/>
      <w:numFmt w:val="bullet"/>
      <w:lvlText w:val=""/>
      <w:lvlJc w:val="left"/>
      <w:pPr>
        <w:tabs>
          <w:tab w:val="num" w:pos="720"/>
        </w:tabs>
        <w:ind w:left="720" w:hanging="360"/>
      </w:pPr>
      <w:rPr>
        <w:rFonts w:hint="default" w:ascii="Symbol" w:hAnsi="Symbol"/>
        <w:sz w:val="20"/>
      </w:rPr>
    </w:lvl>
    <w:lvl w:ilvl="1" w:tplc="A60A3B32">
      <w:start w:val="1"/>
      <w:numFmt w:val="bullet"/>
      <w:lvlText w:val="o"/>
      <w:lvlJc w:val="left"/>
      <w:pPr>
        <w:tabs>
          <w:tab w:val="num" w:pos="1440"/>
        </w:tabs>
        <w:ind w:left="1440" w:hanging="360"/>
      </w:pPr>
      <w:rPr>
        <w:rFonts w:hint="default" w:ascii="Courier New" w:hAnsi="Courier New"/>
        <w:sz w:val="20"/>
      </w:rPr>
    </w:lvl>
    <w:lvl w:ilvl="2" w:tplc="6B68030C">
      <w:start w:val="1"/>
      <w:numFmt w:val="bullet"/>
      <w:lvlText w:val=""/>
      <w:lvlJc w:val="left"/>
      <w:pPr>
        <w:tabs>
          <w:tab w:val="num" w:pos="2160"/>
        </w:tabs>
        <w:ind w:left="2160" w:hanging="360"/>
      </w:pPr>
      <w:rPr>
        <w:rFonts w:hint="default" w:ascii="Wingdings" w:hAnsi="Wingdings"/>
        <w:sz w:val="20"/>
      </w:rPr>
    </w:lvl>
    <w:lvl w:ilvl="3" w:tplc="3934F2B6">
      <w:start w:val="1"/>
      <w:numFmt w:val="bullet"/>
      <w:lvlText w:val=""/>
      <w:lvlJc w:val="left"/>
      <w:pPr>
        <w:tabs>
          <w:tab w:val="num" w:pos="2880"/>
        </w:tabs>
        <w:ind w:left="2880" w:hanging="360"/>
      </w:pPr>
      <w:rPr>
        <w:rFonts w:hint="default" w:ascii="Wingdings" w:hAnsi="Wingdings"/>
        <w:sz w:val="20"/>
      </w:rPr>
    </w:lvl>
    <w:lvl w:ilvl="4" w:tplc="F8323A9C">
      <w:start w:val="1"/>
      <w:numFmt w:val="bullet"/>
      <w:lvlText w:val=""/>
      <w:lvlJc w:val="left"/>
      <w:pPr>
        <w:tabs>
          <w:tab w:val="num" w:pos="3600"/>
        </w:tabs>
        <w:ind w:left="3600" w:hanging="360"/>
      </w:pPr>
      <w:rPr>
        <w:rFonts w:hint="default" w:ascii="Wingdings" w:hAnsi="Wingdings"/>
        <w:sz w:val="20"/>
      </w:rPr>
    </w:lvl>
    <w:lvl w:ilvl="5" w:tplc="C34CAEBE">
      <w:start w:val="1"/>
      <w:numFmt w:val="bullet"/>
      <w:lvlText w:val=""/>
      <w:lvlJc w:val="left"/>
      <w:pPr>
        <w:tabs>
          <w:tab w:val="num" w:pos="4320"/>
        </w:tabs>
        <w:ind w:left="4320" w:hanging="360"/>
      </w:pPr>
      <w:rPr>
        <w:rFonts w:hint="default" w:ascii="Wingdings" w:hAnsi="Wingdings"/>
        <w:sz w:val="20"/>
      </w:rPr>
    </w:lvl>
    <w:lvl w:ilvl="6" w:tplc="1BD8A516">
      <w:start w:val="1"/>
      <w:numFmt w:val="bullet"/>
      <w:lvlText w:val=""/>
      <w:lvlJc w:val="left"/>
      <w:pPr>
        <w:tabs>
          <w:tab w:val="num" w:pos="5040"/>
        </w:tabs>
        <w:ind w:left="5040" w:hanging="360"/>
      </w:pPr>
      <w:rPr>
        <w:rFonts w:hint="default" w:ascii="Wingdings" w:hAnsi="Wingdings"/>
        <w:sz w:val="20"/>
      </w:rPr>
    </w:lvl>
    <w:lvl w:ilvl="7" w:tplc="D45AF840">
      <w:start w:val="1"/>
      <w:numFmt w:val="bullet"/>
      <w:lvlText w:val=""/>
      <w:lvlJc w:val="left"/>
      <w:pPr>
        <w:tabs>
          <w:tab w:val="num" w:pos="5760"/>
        </w:tabs>
        <w:ind w:left="5760" w:hanging="360"/>
      </w:pPr>
      <w:rPr>
        <w:rFonts w:hint="default" w:ascii="Wingdings" w:hAnsi="Wingdings"/>
        <w:sz w:val="20"/>
      </w:rPr>
    </w:lvl>
    <w:lvl w:ilvl="8" w:tplc="3020B812">
      <w:start w:val="1"/>
      <w:numFmt w:val="bullet"/>
      <w:lvlText w:val=""/>
      <w:lvlJc w:val="left"/>
      <w:pPr>
        <w:tabs>
          <w:tab w:val="num" w:pos="6480"/>
        </w:tabs>
        <w:ind w:left="6480" w:hanging="360"/>
      </w:pPr>
      <w:rPr>
        <w:rFonts w:hint="default" w:ascii="Wingdings" w:hAnsi="Wingdings"/>
        <w:sz w:val="20"/>
      </w:rPr>
    </w:lvl>
  </w:abstractNum>
  <w:abstractNum w:abstractNumId="16">
    <w:multiLevelType w:val="hybridMultilevel"/>
    <w:lvl w:ilvl="0" w:tplc="BD36636A">
      <w:start w:val="1"/>
      <w:numFmt w:val="decimal"/>
      <w:lvlText w:val="%1)"/>
      <w:lvlJc w:val="left"/>
      <w:pPr>
        <w:ind w:left="1093" w:hanging="384"/>
      </w:pPr>
      <w:rPr>
        <w:rFonts w:hint="default"/>
        <w:b/>
      </w:rPr>
    </w:lvl>
    <w:lvl w:ilvl="1" w:tplc="70A4B5AE">
      <w:start w:val="1"/>
      <w:numFmt w:val="lowerLetter"/>
      <w:lvlText w:val="%2."/>
      <w:lvlJc w:val="left"/>
      <w:pPr>
        <w:ind w:left="1789" w:hanging="360"/>
      </w:pPr>
    </w:lvl>
    <w:lvl w:ilvl="2" w:tplc="88FCADEA">
      <w:start w:val="1"/>
      <w:numFmt w:val="lowerRoman"/>
      <w:lvlText w:val="%3."/>
      <w:lvlJc w:val="right"/>
      <w:pPr>
        <w:ind w:left="2509" w:hanging="180"/>
      </w:pPr>
    </w:lvl>
    <w:lvl w:ilvl="3" w:tplc="9B8CE348">
      <w:start w:val="1"/>
      <w:numFmt w:val="decimal"/>
      <w:lvlText w:val="%4."/>
      <w:lvlJc w:val="left"/>
      <w:pPr>
        <w:ind w:left="3229" w:hanging="360"/>
      </w:pPr>
    </w:lvl>
    <w:lvl w:ilvl="4" w:tplc="E2DA472A">
      <w:start w:val="1"/>
      <w:numFmt w:val="lowerLetter"/>
      <w:lvlText w:val="%5."/>
      <w:lvlJc w:val="left"/>
      <w:pPr>
        <w:ind w:left="3949" w:hanging="360"/>
      </w:pPr>
    </w:lvl>
    <w:lvl w:ilvl="5" w:tplc="98FEB7CE">
      <w:start w:val="1"/>
      <w:numFmt w:val="lowerRoman"/>
      <w:lvlText w:val="%6."/>
      <w:lvlJc w:val="right"/>
      <w:pPr>
        <w:ind w:left="4669" w:hanging="180"/>
      </w:pPr>
    </w:lvl>
    <w:lvl w:ilvl="6" w:tplc="05887F98">
      <w:start w:val="1"/>
      <w:numFmt w:val="decimal"/>
      <w:lvlText w:val="%7."/>
      <w:lvlJc w:val="left"/>
      <w:pPr>
        <w:ind w:left="5389" w:hanging="360"/>
      </w:pPr>
    </w:lvl>
    <w:lvl w:ilvl="7" w:tplc="531A9182">
      <w:start w:val="1"/>
      <w:numFmt w:val="lowerLetter"/>
      <w:lvlText w:val="%8."/>
      <w:lvlJc w:val="left"/>
      <w:pPr>
        <w:ind w:left="6109" w:hanging="360"/>
      </w:pPr>
    </w:lvl>
    <w:lvl w:ilvl="8" w:tplc="A7BA39A6">
      <w:start w:val="1"/>
      <w:numFmt w:val="lowerRoman"/>
      <w:lvlText w:val="%9."/>
      <w:lvlJc w:val="right"/>
      <w:pPr>
        <w:ind w:left="6829" w:hanging="180"/>
      </w:pPr>
    </w:lvl>
  </w:abstractNum>
  <w:abstractNum w:abstractNumId="17">
    <w:multiLevelType w:val="hybridMultilevel"/>
    <w:lvl w:ilvl="0" w:tplc="B1021BA0">
      <w:start w:val="1"/>
      <w:numFmt w:val="bullet"/>
      <w:lvlText w:val=""/>
      <w:lvlJc w:val="left"/>
      <w:pPr>
        <w:ind w:left="1507" w:hanging="360"/>
      </w:pPr>
      <w:rPr>
        <w:rFonts w:hint="default" w:ascii="Symbol" w:hAnsi="Symbol"/>
      </w:rPr>
    </w:lvl>
    <w:lvl w:ilvl="1" w:tplc="2D5A2FC0">
      <w:start w:val="1"/>
      <w:numFmt w:val="bullet"/>
      <w:lvlText w:val="o"/>
      <w:lvlJc w:val="left"/>
      <w:pPr>
        <w:ind w:left="2227" w:hanging="360"/>
      </w:pPr>
      <w:rPr>
        <w:rFonts w:hint="default" w:ascii="Courier New" w:hAnsi="Courier New" w:cs="Courier New"/>
      </w:rPr>
    </w:lvl>
    <w:lvl w:ilvl="2" w:tplc="40EC0A00">
      <w:start w:val="1"/>
      <w:numFmt w:val="bullet"/>
      <w:lvlText w:val=""/>
      <w:lvlJc w:val="left"/>
      <w:pPr>
        <w:ind w:left="2947" w:hanging="360"/>
      </w:pPr>
      <w:rPr>
        <w:rFonts w:hint="default" w:ascii="Wingdings" w:hAnsi="Wingdings"/>
      </w:rPr>
    </w:lvl>
    <w:lvl w:ilvl="3" w:tplc="F42024D6">
      <w:start w:val="1"/>
      <w:numFmt w:val="bullet"/>
      <w:lvlText w:val=""/>
      <w:lvlJc w:val="left"/>
      <w:pPr>
        <w:ind w:left="3667" w:hanging="360"/>
      </w:pPr>
      <w:rPr>
        <w:rFonts w:hint="default" w:ascii="Symbol" w:hAnsi="Symbol"/>
      </w:rPr>
    </w:lvl>
    <w:lvl w:ilvl="4" w:tplc="6DBC4968">
      <w:start w:val="1"/>
      <w:numFmt w:val="bullet"/>
      <w:lvlText w:val="o"/>
      <w:lvlJc w:val="left"/>
      <w:pPr>
        <w:ind w:left="4387" w:hanging="360"/>
      </w:pPr>
      <w:rPr>
        <w:rFonts w:hint="default" w:ascii="Courier New" w:hAnsi="Courier New" w:cs="Courier New"/>
      </w:rPr>
    </w:lvl>
    <w:lvl w:ilvl="5" w:tplc="7D4689EC">
      <w:start w:val="1"/>
      <w:numFmt w:val="bullet"/>
      <w:lvlText w:val=""/>
      <w:lvlJc w:val="left"/>
      <w:pPr>
        <w:ind w:left="5107" w:hanging="360"/>
      </w:pPr>
      <w:rPr>
        <w:rFonts w:hint="default" w:ascii="Wingdings" w:hAnsi="Wingdings"/>
      </w:rPr>
    </w:lvl>
    <w:lvl w:ilvl="6" w:tplc="A920B6E8">
      <w:start w:val="1"/>
      <w:numFmt w:val="bullet"/>
      <w:lvlText w:val=""/>
      <w:lvlJc w:val="left"/>
      <w:pPr>
        <w:ind w:left="5827" w:hanging="360"/>
      </w:pPr>
      <w:rPr>
        <w:rFonts w:hint="default" w:ascii="Symbol" w:hAnsi="Symbol"/>
      </w:rPr>
    </w:lvl>
    <w:lvl w:ilvl="7" w:tplc="8BDAD364">
      <w:start w:val="1"/>
      <w:numFmt w:val="bullet"/>
      <w:lvlText w:val="o"/>
      <w:lvlJc w:val="left"/>
      <w:pPr>
        <w:ind w:left="6547" w:hanging="360"/>
      </w:pPr>
      <w:rPr>
        <w:rFonts w:hint="default" w:ascii="Courier New" w:hAnsi="Courier New" w:cs="Courier New"/>
      </w:rPr>
    </w:lvl>
    <w:lvl w:ilvl="8" w:tplc="3E26C2FC">
      <w:start w:val="1"/>
      <w:numFmt w:val="bullet"/>
      <w:lvlText w:val=""/>
      <w:lvlJc w:val="left"/>
      <w:pPr>
        <w:ind w:left="7267" w:hanging="360"/>
      </w:pPr>
      <w:rPr>
        <w:rFonts w:hint="default" w:ascii="Wingdings" w:hAnsi="Wingdings"/>
      </w:rPr>
    </w:lvl>
  </w:abstractNum>
  <w:abstractNum w:abstractNumId="18">
    <w:multiLevelType w:val="hybridMultilevel"/>
    <w:lvl w:ilvl="0" w:tplc="4582F596">
      <w:start w:val="1"/>
      <w:numFmt w:val="decimal"/>
      <w:lvlText w:val="%1."/>
      <w:lvlJc w:val="left"/>
      <w:pPr>
        <w:tabs>
          <w:tab w:val="num" w:pos="720"/>
        </w:tabs>
        <w:ind w:left="720" w:hanging="360"/>
      </w:pPr>
      <w:rPr>
        <w:rFonts w:hint="default"/>
      </w:rPr>
    </w:lvl>
    <w:lvl w:ilvl="1" w:tplc="2FCADCA2">
      <w:start w:val="1"/>
      <w:numFmt w:val="lowerLetter"/>
      <w:lvlText w:val="%2."/>
      <w:lvlJc w:val="left"/>
      <w:pPr>
        <w:tabs>
          <w:tab w:val="num" w:pos="1440"/>
        </w:tabs>
        <w:ind w:left="1440" w:hanging="360"/>
      </w:pPr>
    </w:lvl>
    <w:lvl w:ilvl="2" w:tplc="B3FC3D8C">
      <w:start w:val="1"/>
      <w:numFmt w:val="lowerRoman"/>
      <w:lvlText w:val="%3."/>
      <w:lvlJc w:val="right"/>
      <w:pPr>
        <w:tabs>
          <w:tab w:val="num" w:pos="2160"/>
        </w:tabs>
        <w:ind w:left="2160" w:hanging="180"/>
      </w:pPr>
    </w:lvl>
    <w:lvl w:ilvl="3" w:tplc="795EA2E4">
      <w:start w:val="1"/>
      <w:numFmt w:val="decimal"/>
      <w:lvlText w:val="%4."/>
      <w:lvlJc w:val="left"/>
      <w:pPr>
        <w:tabs>
          <w:tab w:val="num" w:pos="2880"/>
        </w:tabs>
        <w:ind w:left="2880" w:hanging="360"/>
      </w:pPr>
    </w:lvl>
    <w:lvl w:ilvl="4" w:tplc="8ABA6408">
      <w:start w:val="1"/>
      <w:numFmt w:val="lowerLetter"/>
      <w:lvlText w:val="%5."/>
      <w:lvlJc w:val="left"/>
      <w:pPr>
        <w:tabs>
          <w:tab w:val="num" w:pos="3600"/>
        </w:tabs>
        <w:ind w:left="3600" w:hanging="360"/>
      </w:pPr>
    </w:lvl>
    <w:lvl w:ilvl="5" w:tplc="170EC7C6">
      <w:start w:val="1"/>
      <w:numFmt w:val="lowerRoman"/>
      <w:lvlText w:val="%6."/>
      <w:lvlJc w:val="right"/>
      <w:pPr>
        <w:tabs>
          <w:tab w:val="num" w:pos="4320"/>
        </w:tabs>
        <w:ind w:left="4320" w:hanging="180"/>
      </w:pPr>
    </w:lvl>
    <w:lvl w:ilvl="6" w:tplc="B34CED48">
      <w:start w:val="1"/>
      <w:numFmt w:val="decimal"/>
      <w:lvlText w:val="%7."/>
      <w:lvlJc w:val="left"/>
      <w:pPr>
        <w:tabs>
          <w:tab w:val="num" w:pos="5040"/>
        </w:tabs>
        <w:ind w:left="5040" w:hanging="360"/>
      </w:pPr>
    </w:lvl>
    <w:lvl w:ilvl="7" w:tplc="7DBC34B0">
      <w:start w:val="1"/>
      <w:numFmt w:val="lowerLetter"/>
      <w:lvlText w:val="%8."/>
      <w:lvlJc w:val="left"/>
      <w:pPr>
        <w:tabs>
          <w:tab w:val="num" w:pos="5760"/>
        </w:tabs>
        <w:ind w:left="5760" w:hanging="360"/>
      </w:pPr>
    </w:lvl>
    <w:lvl w:ilvl="8" w:tplc="9470FEA0">
      <w:start w:val="1"/>
      <w:numFmt w:val="lowerRoman"/>
      <w:lvlText w:val="%9."/>
      <w:lvlJc w:val="right"/>
      <w:pPr>
        <w:tabs>
          <w:tab w:val="num" w:pos="6480"/>
        </w:tabs>
        <w:ind w:left="6480" w:hanging="180"/>
      </w:pPr>
    </w:lvl>
  </w:abstractNum>
  <w:abstractNum w:abstractNumId="19">
    <w:multiLevelType w:val="hybridMultilevel"/>
    <w:lvl w:ilvl="0" w:tplc="84B23E36">
      <w:start w:val="1"/>
      <w:numFmt w:val="bullet"/>
      <w:lvlText w:val=""/>
      <w:lvlJc w:val="left"/>
      <w:pPr>
        <w:tabs>
          <w:tab w:val="num" w:pos="720"/>
        </w:tabs>
        <w:ind w:left="720" w:hanging="360"/>
      </w:pPr>
      <w:rPr>
        <w:rFonts w:hint="default" w:ascii="Symbol" w:hAnsi="Symbol"/>
        <w:sz w:val="20"/>
      </w:rPr>
    </w:lvl>
    <w:lvl w:ilvl="1" w:tplc="254407B4">
      <w:start w:val="1"/>
      <w:numFmt w:val="bullet"/>
      <w:lvlText w:val="o"/>
      <w:lvlJc w:val="left"/>
      <w:pPr>
        <w:tabs>
          <w:tab w:val="num" w:pos="1440"/>
        </w:tabs>
        <w:ind w:left="1440" w:hanging="360"/>
      </w:pPr>
      <w:rPr>
        <w:rFonts w:hint="default" w:ascii="Courier New" w:hAnsi="Courier New"/>
        <w:sz w:val="20"/>
      </w:rPr>
    </w:lvl>
    <w:lvl w:ilvl="2" w:tplc="050022AE">
      <w:start w:val="1"/>
      <w:numFmt w:val="bullet"/>
      <w:lvlText w:val=""/>
      <w:lvlJc w:val="left"/>
      <w:pPr>
        <w:tabs>
          <w:tab w:val="num" w:pos="2160"/>
        </w:tabs>
        <w:ind w:left="2160" w:hanging="360"/>
      </w:pPr>
      <w:rPr>
        <w:rFonts w:hint="default" w:ascii="Wingdings" w:hAnsi="Wingdings"/>
        <w:sz w:val="20"/>
      </w:rPr>
    </w:lvl>
    <w:lvl w:ilvl="3" w:tplc="BA54D7F2">
      <w:start w:val="1"/>
      <w:numFmt w:val="bullet"/>
      <w:lvlText w:val=""/>
      <w:lvlJc w:val="left"/>
      <w:pPr>
        <w:tabs>
          <w:tab w:val="num" w:pos="2880"/>
        </w:tabs>
        <w:ind w:left="2880" w:hanging="360"/>
      </w:pPr>
      <w:rPr>
        <w:rFonts w:hint="default" w:ascii="Wingdings" w:hAnsi="Wingdings"/>
        <w:sz w:val="20"/>
      </w:rPr>
    </w:lvl>
    <w:lvl w:ilvl="4" w:tplc="E6CCD7EA">
      <w:start w:val="1"/>
      <w:numFmt w:val="bullet"/>
      <w:lvlText w:val=""/>
      <w:lvlJc w:val="left"/>
      <w:pPr>
        <w:tabs>
          <w:tab w:val="num" w:pos="3600"/>
        </w:tabs>
        <w:ind w:left="3600" w:hanging="360"/>
      </w:pPr>
      <w:rPr>
        <w:rFonts w:hint="default" w:ascii="Wingdings" w:hAnsi="Wingdings"/>
        <w:sz w:val="20"/>
      </w:rPr>
    </w:lvl>
    <w:lvl w:ilvl="5" w:tplc="E68C04BE">
      <w:start w:val="1"/>
      <w:numFmt w:val="bullet"/>
      <w:lvlText w:val=""/>
      <w:lvlJc w:val="left"/>
      <w:pPr>
        <w:tabs>
          <w:tab w:val="num" w:pos="4320"/>
        </w:tabs>
        <w:ind w:left="4320" w:hanging="360"/>
      </w:pPr>
      <w:rPr>
        <w:rFonts w:hint="default" w:ascii="Wingdings" w:hAnsi="Wingdings"/>
        <w:sz w:val="20"/>
      </w:rPr>
    </w:lvl>
    <w:lvl w:ilvl="6" w:tplc="5A6A1990">
      <w:start w:val="1"/>
      <w:numFmt w:val="bullet"/>
      <w:lvlText w:val=""/>
      <w:lvlJc w:val="left"/>
      <w:pPr>
        <w:tabs>
          <w:tab w:val="num" w:pos="5040"/>
        </w:tabs>
        <w:ind w:left="5040" w:hanging="360"/>
      </w:pPr>
      <w:rPr>
        <w:rFonts w:hint="default" w:ascii="Wingdings" w:hAnsi="Wingdings"/>
        <w:sz w:val="20"/>
      </w:rPr>
    </w:lvl>
    <w:lvl w:ilvl="7" w:tplc="167C1082">
      <w:start w:val="1"/>
      <w:numFmt w:val="bullet"/>
      <w:lvlText w:val=""/>
      <w:lvlJc w:val="left"/>
      <w:pPr>
        <w:tabs>
          <w:tab w:val="num" w:pos="5760"/>
        </w:tabs>
        <w:ind w:left="5760" w:hanging="360"/>
      </w:pPr>
      <w:rPr>
        <w:rFonts w:hint="default" w:ascii="Wingdings" w:hAnsi="Wingdings"/>
        <w:sz w:val="20"/>
      </w:rPr>
    </w:lvl>
    <w:lvl w:ilvl="8" w:tplc="AEB4E04C">
      <w:start w:val="1"/>
      <w:numFmt w:val="bullet"/>
      <w:lvlText w:val=""/>
      <w:lvlJc w:val="left"/>
      <w:pPr>
        <w:tabs>
          <w:tab w:val="num" w:pos="6480"/>
        </w:tabs>
        <w:ind w:left="6480" w:hanging="360"/>
      </w:pPr>
      <w:rPr>
        <w:rFonts w:hint="default" w:ascii="Wingdings" w:hAnsi="Wingdings"/>
        <w:sz w:val="20"/>
      </w:rPr>
    </w:lvl>
  </w:abstractNum>
  <w:abstractNum w:abstractNumId="20">
    <w:multiLevelType w:val="hybridMultilevel"/>
    <w:lvl w:ilvl="0" w:tplc="5A84D7B0">
      <w:start w:val="1"/>
      <w:numFmt w:val="decimal"/>
      <w:lvlText w:val="%1)"/>
      <w:lvlJc w:val="left"/>
      <w:pPr>
        <w:ind w:left="1211" w:hanging="360"/>
      </w:pPr>
      <w:rPr>
        <w:rFonts w:hint="default"/>
      </w:rPr>
    </w:lvl>
    <w:lvl w:ilvl="1" w:tplc="FC54C776">
      <w:start w:val="1"/>
      <w:numFmt w:val="lowerLetter"/>
      <w:lvlText w:val="%2."/>
      <w:lvlJc w:val="left"/>
      <w:pPr>
        <w:ind w:left="1931" w:hanging="360"/>
      </w:pPr>
    </w:lvl>
    <w:lvl w:ilvl="2" w:tplc="6F7EA560">
      <w:start w:val="1"/>
      <w:numFmt w:val="lowerRoman"/>
      <w:lvlText w:val="%3."/>
      <w:lvlJc w:val="right"/>
      <w:pPr>
        <w:ind w:left="2651" w:hanging="180"/>
      </w:pPr>
    </w:lvl>
    <w:lvl w:ilvl="3" w:tplc="C1E4DC0E">
      <w:start w:val="1"/>
      <w:numFmt w:val="decimal"/>
      <w:lvlText w:val="%4."/>
      <w:lvlJc w:val="left"/>
      <w:pPr>
        <w:ind w:left="3371" w:hanging="360"/>
      </w:pPr>
    </w:lvl>
    <w:lvl w:ilvl="4" w:tplc="C5087464">
      <w:start w:val="1"/>
      <w:numFmt w:val="lowerLetter"/>
      <w:lvlText w:val="%5."/>
      <w:lvlJc w:val="left"/>
      <w:pPr>
        <w:ind w:left="4091" w:hanging="360"/>
      </w:pPr>
    </w:lvl>
    <w:lvl w:ilvl="5" w:tplc="C1BA7E0A">
      <w:start w:val="1"/>
      <w:numFmt w:val="lowerRoman"/>
      <w:lvlText w:val="%6."/>
      <w:lvlJc w:val="right"/>
      <w:pPr>
        <w:ind w:left="4811" w:hanging="180"/>
      </w:pPr>
    </w:lvl>
    <w:lvl w:ilvl="6" w:tplc="D988BF0C">
      <w:start w:val="1"/>
      <w:numFmt w:val="decimal"/>
      <w:lvlText w:val="%7."/>
      <w:lvlJc w:val="left"/>
      <w:pPr>
        <w:ind w:left="5531" w:hanging="360"/>
      </w:pPr>
    </w:lvl>
    <w:lvl w:ilvl="7" w:tplc="CB96C9C0">
      <w:start w:val="1"/>
      <w:numFmt w:val="lowerLetter"/>
      <w:lvlText w:val="%8."/>
      <w:lvlJc w:val="left"/>
      <w:pPr>
        <w:ind w:left="6251" w:hanging="360"/>
      </w:pPr>
    </w:lvl>
    <w:lvl w:ilvl="8" w:tplc="43E41758">
      <w:start w:val="1"/>
      <w:numFmt w:val="lowerRoman"/>
      <w:lvlText w:val="%9."/>
      <w:lvlJc w:val="right"/>
      <w:pPr>
        <w:ind w:left="6971" w:hanging="180"/>
      </w:pPr>
    </w:lvl>
  </w:abstractNum>
  <w:abstractNum w:abstractNumId="21">
    <w:multiLevelType w:val="hybridMultilevel"/>
    <w:lvl w:ilvl="0" w:tplc="07767DB4">
      <w:start w:val="1"/>
      <w:numFmt w:val="bullet"/>
      <w:lvlText w:val="-"/>
      <w:lvlJc w:val="left"/>
      <w:pPr>
        <w:tabs>
          <w:tab w:val="num" w:pos="720"/>
        </w:tabs>
        <w:ind w:left="720" w:hanging="360"/>
      </w:pPr>
      <w:rPr>
        <w:rFonts w:hint="default" w:ascii="Times New Roman" w:hAnsi="Times New Roman" w:eastAsia="Times New Roman" w:cs="Times New Roman"/>
      </w:rPr>
    </w:lvl>
    <w:lvl w:ilvl="1" w:tplc="BEB6D4F0">
      <w:start w:val="1"/>
      <w:numFmt w:val="bullet"/>
      <w:lvlText w:val="o"/>
      <w:lvlJc w:val="left"/>
      <w:pPr>
        <w:tabs>
          <w:tab w:val="num" w:pos="1440"/>
        </w:tabs>
        <w:ind w:left="1440" w:hanging="360"/>
      </w:pPr>
      <w:rPr>
        <w:rFonts w:hint="default" w:ascii="Courier New" w:hAnsi="Courier New"/>
      </w:rPr>
    </w:lvl>
    <w:lvl w:ilvl="2" w:tplc="78DCEF66">
      <w:start w:val="1"/>
      <w:numFmt w:val="bullet"/>
      <w:lvlText w:val=""/>
      <w:lvlJc w:val="left"/>
      <w:pPr>
        <w:tabs>
          <w:tab w:val="num" w:pos="2160"/>
        </w:tabs>
        <w:ind w:left="2160" w:hanging="360"/>
      </w:pPr>
      <w:rPr>
        <w:rFonts w:hint="default" w:ascii="Wingdings" w:hAnsi="Wingdings"/>
      </w:rPr>
    </w:lvl>
    <w:lvl w:ilvl="3" w:tplc="B8DECA1E">
      <w:start w:val="1"/>
      <w:numFmt w:val="bullet"/>
      <w:lvlText w:val=""/>
      <w:lvlJc w:val="left"/>
      <w:pPr>
        <w:tabs>
          <w:tab w:val="num" w:pos="2880"/>
        </w:tabs>
        <w:ind w:left="2880" w:hanging="360"/>
      </w:pPr>
      <w:rPr>
        <w:rFonts w:hint="default" w:ascii="Symbol" w:hAnsi="Symbol"/>
      </w:rPr>
    </w:lvl>
    <w:lvl w:ilvl="4" w:tplc="8B68ABAC">
      <w:start w:val="1"/>
      <w:numFmt w:val="bullet"/>
      <w:lvlText w:val="o"/>
      <w:lvlJc w:val="left"/>
      <w:pPr>
        <w:tabs>
          <w:tab w:val="num" w:pos="3600"/>
        </w:tabs>
        <w:ind w:left="3600" w:hanging="360"/>
      </w:pPr>
      <w:rPr>
        <w:rFonts w:hint="default" w:ascii="Courier New" w:hAnsi="Courier New"/>
      </w:rPr>
    </w:lvl>
    <w:lvl w:ilvl="5" w:tplc="8D24306C">
      <w:start w:val="1"/>
      <w:numFmt w:val="bullet"/>
      <w:lvlText w:val=""/>
      <w:lvlJc w:val="left"/>
      <w:pPr>
        <w:tabs>
          <w:tab w:val="num" w:pos="4320"/>
        </w:tabs>
        <w:ind w:left="4320" w:hanging="360"/>
      </w:pPr>
      <w:rPr>
        <w:rFonts w:hint="default" w:ascii="Wingdings" w:hAnsi="Wingdings"/>
      </w:rPr>
    </w:lvl>
    <w:lvl w:ilvl="6" w:tplc="EDF204C0">
      <w:start w:val="1"/>
      <w:numFmt w:val="bullet"/>
      <w:lvlText w:val=""/>
      <w:lvlJc w:val="left"/>
      <w:pPr>
        <w:tabs>
          <w:tab w:val="num" w:pos="5040"/>
        </w:tabs>
        <w:ind w:left="5040" w:hanging="360"/>
      </w:pPr>
      <w:rPr>
        <w:rFonts w:hint="default" w:ascii="Symbol" w:hAnsi="Symbol"/>
      </w:rPr>
    </w:lvl>
    <w:lvl w:ilvl="7" w:tplc="733C210A">
      <w:start w:val="1"/>
      <w:numFmt w:val="bullet"/>
      <w:lvlText w:val="o"/>
      <w:lvlJc w:val="left"/>
      <w:pPr>
        <w:tabs>
          <w:tab w:val="num" w:pos="5760"/>
        </w:tabs>
        <w:ind w:left="5760" w:hanging="360"/>
      </w:pPr>
      <w:rPr>
        <w:rFonts w:hint="default" w:ascii="Courier New" w:hAnsi="Courier New"/>
      </w:rPr>
    </w:lvl>
    <w:lvl w:ilvl="8" w:tplc="F7AE9B40">
      <w:start w:val="1"/>
      <w:numFmt w:val="bullet"/>
      <w:lvlText w:val=""/>
      <w:lvlJc w:val="left"/>
      <w:pPr>
        <w:tabs>
          <w:tab w:val="num" w:pos="6480"/>
        </w:tabs>
        <w:ind w:left="6480" w:hanging="360"/>
      </w:pPr>
      <w:rPr>
        <w:rFonts w:hint="default" w:ascii="Wingdings" w:hAnsi="Wingdings"/>
      </w:rPr>
    </w:lvl>
  </w:abstractNum>
  <w:abstractNum w:abstractNumId="22">
    <w:multiLevelType w:val="hybridMultilevel"/>
    <w:lvl w:ilvl="0" w:tplc="8F402C3A">
      <w:start w:val="1"/>
      <w:numFmt w:val="bullet"/>
      <w:lvlText w:val=""/>
      <w:lvlJc w:val="left"/>
      <w:pPr>
        <w:tabs>
          <w:tab w:val="num" w:pos="720"/>
        </w:tabs>
        <w:ind w:left="720" w:hanging="360"/>
      </w:pPr>
      <w:rPr>
        <w:rFonts w:hint="default" w:ascii="Symbol" w:hAnsi="Symbol"/>
      </w:rPr>
    </w:lvl>
    <w:lvl w:ilvl="1" w:tplc="25082D78">
      <w:start w:val="1"/>
      <w:numFmt w:val="bullet"/>
      <w:lvlText w:val="o"/>
      <w:lvlJc w:val="left"/>
      <w:pPr>
        <w:tabs>
          <w:tab w:val="num" w:pos="1440"/>
        </w:tabs>
        <w:ind w:left="1440" w:hanging="360"/>
      </w:pPr>
      <w:rPr>
        <w:rFonts w:hint="default" w:ascii="Courier New" w:hAnsi="Courier New"/>
      </w:rPr>
    </w:lvl>
    <w:lvl w:ilvl="2" w:tplc="C1EAA274">
      <w:start w:val="1"/>
      <w:numFmt w:val="bullet"/>
      <w:lvlText w:val=""/>
      <w:lvlJc w:val="left"/>
      <w:pPr>
        <w:tabs>
          <w:tab w:val="num" w:pos="2160"/>
        </w:tabs>
        <w:ind w:left="2160" w:hanging="360"/>
      </w:pPr>
      <w:rPr>
        <w:rFonts w:hint="default" w:ascii="Wingdings" w:hAnsi="Wingdings"/>
      </w:rPr>
    </w:lvl>
    <w:lvl w:ilvl="3" w:tplc="ABD0C3CC">
      <w:start w:val="1"/>
      <w:numFmt w:val="bullet"/>
      <w:lvlText w:val=""/>
      <w:lvlJc w:val="left"/>
      <w:pPr>
        <w:tabs>
          <w:tab w:val="num" w:pos="2880"/>
        </w:tabs>
        <w:ind w:left="2880" w:hanging="360"/>
      </w:pPr>
      <w:rPr>
        <w:rFonts w:hint="default" w:ascii="Symbol" w:hAnsi="Symbol"/>
      </w:rPr>
    </w:lvl>
    <w:lvl w:ilvl="4" w:tplc="E1CE3C56">
      <w:start w:val="1"/>
      <w:numFmt w:val="bullet"/>
      <w:lvlText w:val="o"/>
      <w:lvlJc w:val="left"/>
      <w:pPr>
        <w:tabs>
          <w:tab w:val="num" w:pos="3600"/>
        </w:tabs>
        <w:ind w:left="3600" w:hanging="360"/>
      </w:pPr>
      <w:rPr>
        <w:rFonts w:hint="default" w:ascii="Courier New" w:hAnsi="Courier New"/>
      </w:rPr>
    </w:lvl>
    <w:lvl w:ilvl="5" w:tplc="423096CE">
      <w:start w:val="1"/>
      <w:numFmt w:val="bullet"/>
      <w:lvlText w:val=""/>
      <w:lvlJc w:val="left"/>
      <w:pPr>
        <w:tabs>
          <w:tab w:val="num" w:pos="4320"/>
        </w:tabs>
        <w:ind w:left="4320" w:hanging="360"/>
      </w:pPr>
      <w:rPr>
        <w:rFonts w:hint="default" w:ascii="Wingdings" w:hAnsi="Wingdings"/>
      </w:rPr>
    </w:lvl>
    <w:lvl w:ilvl="6" w:tplc="C7940C46">
      <w:start w:val="1"/>
      <w:numFmt w:val="bullet"/>
      <w:lvlText w:val=""/>
      <w:lvlJc w:val="left"/>
      <w:pPr>
        <w:tabs>
          <w:tab w:val="num" w:pos="5040"/>
        </w:tabs>
        <w:ind w:left="5040" w:hanging="360"/>
      </w:pPr>
      <w:rPr>
        <w:rFonts w:hint="default" w:ascii="Symbol" w:hAnsi="Symbol"/>
      </w:rPr>
    </w:lvl>
    <w:lvl w:ilvl="7" w:tplc="3648F3E0">
      <w:start w:val="1"/>
      <w:numFmt w:val="bullet"/>
      <w:lvlText w:val="o"/>
      <w:lvlJc w:val="left"/>
      <w:pPr>
        <w:tabs>
          <w:tab w:val="num" w:pos="5760"/>
        </w:tabs>
        <w:ind w:left="5760" w:hanging="360"/>
      </w:pPr>
      <w:rPr>
        <w:rFonts w:hint="default" w:ascii="Courier New" w:hAnsi="Courier New"/>
      </w:rPr>
    </w:lvl>
    <w:lvl w:ilvl="8" w:tplc="6E5EAD7E">
      <w:start w:val="1"/>
      <w:numFmt w:val="bullet"/>
      <w:lvlText w:val=""/>
      <w:lvlJc w:val="left"/>
      <w:pPr>
        <w:tabs>
          <w:tab w:val="num" w:pos="6480"/>
        </w:tabs>
        <w:ind w:left="6480" w:hanging="360"/>
      </w:pPr>
      <w:rPr>
        <w:rFonts w:hint="default" w:ascii="Wingdings" w:hAnsi="Wingdings"/>
      </w:rPr>
    </w:lvl>
  </w:abstractNum>
  <w:abstractNum w:abstractNumId="23">
    <w:multiLevelType w:val="hybridMultilevel"/>
    <w:lvl w:ilvl="0" w:tplc="5906D442">
      <w:start w:val="1"/>
      <w:numFmt w:val="bullet"/>
      <w:lvlText w:val=""/>
      <w:lvlJc w:val="left"/>
      <w:pPr>
        <w:tabs>
          <w:tab w:val="num" w:pos="720"/>
        </w:tabs>
        <w:ind w:left="720" w:hanging="360"/>
      </w:pPr>
      <w:rPr>
        <w:rFonts w:hint="default" w:ascii="Symbol" w:hAnsi="Symbol"/>
        <w:sz w:val="20"/>
      </w:rPr>
    </w:lvl>
    <w:lvl w:ilvl="1" w:tplc="691E3362">
      <w:start w:val="1"/>
      <w:numFmt w:val="bullet"/>
      <w:lvlText w:val="o"/>
      <w:lvlJc w:val="left"/>
      <w:pPr>
        <w:tabs>
          <w:tab w:val="num" w:pos="1440"/>
        </w:tabs>
        <w:ind w:left="1440" w:hanging="360"/>
      </w:pPr>
      <w:rPr>
        <w:rFonts w:hint="default" w:ascii="Courier New" w:hAnsi="Courier New"/>
        <w:sz w:val="20"/>
      </w:rPr>
    </w:lvl>
    <w:lvl w:ilvl="2" w:tplc="8CB22A9A">
      <w:start w:val="1"/>
      <w:numFmt w:val="bullet"/>
      <w:lvlText w:val=""/>
      <w:lvlJc w:val="left"/>
      <w:pPr>
        <w:tabs>
          <w:tab w:val="num" w:pos="2160"/>
        </w:tabs>
        <w:ind w:left="2160" w:hanging="360"/>
      </w:pPr>
      <w:rPr>
        <w:rFonts w:hint="default" w:ascii="Wingdings" w:hAnsi="Wingdings"/>
        <w:sz w:val="20"/>
      </w:rPr>
    </w:lvl>
    <w:lvl w:ilvl="3" w:tplc="D7B26712">
      <w:start w:val="1"/>
      <w:numFmt w:val="bullet"/>
      <w:lvlText w:val=""/>
      <w:lvlJc w:val="left"/>
      <w:pPr>
        <w:tabs>
          <w:tab w:val="num" w:pos="2880"/>
        </w:tabs>
        <w:ind w:left="2880" w:hanging="360"/>
      </w:pPr>
      <w:rPr>
        <w:rFonts w:hint="default" w:ascii="Wingdings" w:hAnsi="Wingdings"/>
        <w:sz w:val="20"/>
      </w:rPr>
    </w:lvl>
    <w:lvl w:ilvl="4" w:tplc="9B14F2DE">
      <w:start w:val="1"/>
      <w:numFmt w:val="bullet"/>
      <w:lvlText w:val=""/>
      <w:lvlJc w:val="left"/>
      <w:pPr>
        <w:tabs>
          <w:tab w:val="num" w:pos="3600"/>
        </w:tabs>
        <w:ind w:left="3600" w:hanging="360"/>
      </w:pPr>
      <w:rPr>
        <w:rFonts w:hint="default" w:ascii="Wingdings" w:hAnsi="Wingdings"/>
        <w:sz w:val="20"/>
      </w:rPr>
    </w:lvl>
    <w:lvl w:ilvl="5" w:tplc="E17A84A0">
      <w:start w:val="1"/>
      <w:numFmt w:val="bullet"/>
      <w:lvlText w:val=""/>
      <w:lvlJc w:val="left"/>
      <w:pPr>
        <w:tabs>
          <w:tab w:val="num" w:pos="4320"/>
        </w:tabs>
        <w:ind w:left="4320" w:hanging="360"/>
      </w:pPr>
      <w:rPr>
        <w:rFonts w:hint="default" w:ascii="Wingdings" w:hAnsi="Wingdings"/>
        <w:sz w:val="20"/>
      </w:rPr>
    </w:lvl>
    <w:lvl w:ilvl="6" w:tplc="805E2966">
      <w:start w:val="1"/>
      <w:numFmt w:val="bullet"/>
      <w:lvlText w:val=""/>
      <w:lvlJc w:val="left"/>
      <w:pPr>
        <w:tabs>
          <w:tab w:val="num" w:pos="5040"/>
        </w:tabs>
        <w:ind w:left="5040" w:hanging="360"/>
      </w:pPr>
      <w:rPr>
        <w:rFonts w:hint="default" w:ascii="Wingdings" w:hAnsi="Wingdings"/>
        <w:sz w:val="20"/>
      </w:rPr>
    </w:lvl>
    <w:lvl w:ilvl="7" w:tplc="A78E9658">
      <w:start w:val="1"/>
      <w:numFmt w:val="bullet"/>
      <w:lvlText w:val=""/>
      <w:lvlJc w:val="left"/>
      <w:pPr>
        <w:tabs>
          <w:tab w:val="num" w:pos="5760"/>
        </w:tabs>
        <w:ind w:left="5760" w:hanging="360"/>
      </w:pPr>
      <w:rPr>
        <w:rFonts w:hint="default" w:ascii="Wingdings" w:hAnsi="Wingdings"/>
        <w:sz w:val="20"/>
      </w:rPr>
    </w:lvl>
    <w:lvl w:ilvl="8" w:tplc="55F2AFDA">
      <w:start w:val="1"/>
      <w:numFmt w:val="bullet"/>
      <w:lvlText w:val=""/>
      <w:lvlJc w:val="left"/>
      <w:pPr>
        <w:tabs>
          <w:tab w:val="num" w:pos="6480"/>
        </w:tabs>
        <w:ind w:left="6480" w:hanging="360"/>
      </w:pPr>
      <w:rPr>
        <w:rFonts w:hint="default" w:ascii="Wingdings" w:hAnsi="Wingdings"/>
        <w:sz w:val="20"/>
      </w:rPr>
    </w:lvl>
  </w:abstractNum>
  <w:abstractNum w:abstractNumId="24">
    <w:multiLevelType w:val="hybridMultilevel"/>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multiLevelType w:val="hybridMultilevel"/>
    <w:lvl w:ilvl="0" w:tplc="02361932">
      <w:start w:val="1"/>
      <w:numFmt w:val="bullet"/>
      <w:lvlText w:val=""/>
      <w:lvlJc w:val="left"/>
      <w:pPr>
        <w:tabs>
          <w:tab w:val="num" w:pos="720"/>
        </w:tabs>
        <w:ind w:left="720" w:hanging="360"/>
      </w:pPr>
      <w:rPr>
        <w:rFonts w:hint="default" w:ascii="Symbol" w:hAnsi="Symbol"/>
        <w:sz w:val="20"/>
      </w:rPr>
    </w:lvl>
    <w:lvl w:ilvl="1" w:tplc="01A46D1C">
      <w:start w:val="1"/>
      <w:numFmt w:val="bullet"/>
      <w:lvlText w:val="o"/>
      <w:lvlJc w:val="left"/>
      <w:pPr>
        <w:tabs>
          <w:tab w:val="num" w:pos="1440"/>
        </w:tabs>
        <w:ind w:left="1440" w:hanging="360"/>
      </w:pPr>
      <w:rPr>
        <w:rFonts w:hint="default" w:ascii="Courier New" w:hAnsi="Courier New"/>
        <w:sz w:val="20"/>
      </w:rPr>
    </w:lvl>
    <w:lvl w:ilvl="2" w:tplc="51268734">
      <w:start w:val="1"/>
      <w:numFmt w:val="bullet"/>
      <w:lvlText w:val=""/>
      <w:lvlJc w:val="left"/>
      <w:pPr>
        <w:tabs>
          <w:tab w:val="num" w:pos="2160"/>
        </w:tabs>
        <w:ind w:left="2160" w:hanging="360"/>
      </w:pPr>
      <w:rPr>
        <w:rFonts w:hint="default" w:ascii="Wingdings" w:hAnsi="Wingdings"/>
        <w:sz w:val="20"/>
      </w:rPr>
    </w:lvl>
    <w:lvl w:ilvl="3" w:tplc="80084C52">
      <w:start w:val="1"/>
      <w:numFmt w:val="bullet"/>
      <w:lvlText w:val=""/>
      <w:lvlJc w:val="left"/>
      <w:pPr>
        <w:tabs>
          <w:tab w:val="num" w:pos="2880"/>
        </w:tabs>
        <w:ind w:left="2880" w:hanging="360"/>
      </w:pPr>
      <w:rPr>
        <w:rFonts w:hint="default" w:ascii="Wingdings" w:hAnsi="Wingdings"/>
        <w:sz w:val="20"/>
      </w:rPr>
    </w:lvl>
    <w:lvl w:ilvl="4" w:tplc="6C14BABE">
      <w:start w:val="1"/>
      <w:numFmt w:val="bullet"/>
      <w:lvlText w:val=""/>
      <w:lvlJc w:val="left"/>
      <w:pPr>
        <w:tabs>
          <w:tab w:val="num" w:pos="3600"/>
        </w:tabs>
        <w:ind w:left="3600" w:hanging="360"/>
      </w:pPr>
      <w:rPr>
        <w:rFonts w:hint="default" w:ascii="Wingdings" w:hAnsi="Wingdings"/>
        <w:sz w:val="20"/>
      </w:rPr>
    </w:lvl>
    <w:lvl w:ilvl="5" w:tplc="8BA2534E">
      <w:start w:val="1"/>
      <w:numFmt w:val="bullet"/>
      <w:lvlText w:val=""/>
      <w:lvlJc w:val="left"/>
      <w:pPr>
        <w:tabs>
          <w:tab w:val="num" w:pos="4320"/>
        </w:tabs>
        <w:ind w:left="4320" w:hanging="360"/>
      </w:pPr>
      <w:rPr>
        <w:rFonts w:hint="default" w:ascii="Wingdings" w:hAnsi="Wingdings"/>
        <w:sz w:val="20"/>
      </w:rPr>
    </w:lvl>
    <w:lvl w:ilvl="6" w:tplc="69EAA030">
      <w:start w:val="1"/>
      <w:numFmt w:val="bullet"/>
      <w:lvlText w:val=""/>
      <w:lvlJc w:val="left"/>
      <w:pPr>
        <w:tabs>
          <w:tab w:val="num" w:pos="5040"/>
        </w:tabs>
        <w:ind w:left="5040" w:hanging="360"/>
      </w:pPr>
      <w:rPr>
        <w:rFonts w:hint="default" w:ascii="Wingdings" w:hAnsi="Wingdings"/>
        <w:sz w:val="20"/>
      </w:rPr>
    </w:lvl>
    <w:lvl w:ilvl="7" w:tplc="D128A5BA">
      <w:start w:val="1"/>
      <w:numFmt w:val="bullet"/>
      <w:lvlText w:val=""/>
      <w:lvlJc w:val="left"/>
      <w:pPr>
        <w:tabs>
          <w:tab w:val="num" w:pos="5760"/>
        </w:tabs>
        <w:ind w:left="5760" w:hanging="360"/>
      </w:pPr>
      <w:rPr>
        <w:rFonts w:hint="default" w:ascii="Wingdings" w:hAnsi="Wingdings"/>
        <w:sz w:val="20"/>
      </w:rPr>
    </w:lvl>
    <w:lvl w:ilvl="8" w:tplc="76DC55B0">
      <w:start w:val="1"/>
      <w:numFmt w:val="bullet"/>
      <w:lvlText w:val=""/>
      <w:lvlJc w:val="left"/>
      <w:pPr>
        <w:tabs>
          <w:tab w:val="num" w:pos="6480"/>
        </w:tabs>
        <w:ind w:left="6480" w:hanging="360"/>
      </w:pPr>
      <w:rPr>
        <w:rFonts w:hint="default" w:ascii="Wingdings" w:hAnsi="Wingdings"/>
        <w:sz w:val="20"/>
      </w:rPr>
    </w:lvl>
  </w:abstractNum>
  <w:abstractNum w:abstractNumId="26">
    <w:multiLevelType w:val="hybridMultilevel"/>
    <w:lvl w:ilvl="0" w:tplc="E4F42B8E">
      <w:start w:val="2"/>
      <w:numFmt w:val="decimal"/>
      <w:lvlText w:val="%1)"/>
      <w:lvlJc w:val="left"/>
      <w:pPr>
        <w:ind w:left="1069" w:hanging="360"/>
      </w:pPr>
      <w:rPr>
        <w:rFonts w:hint="default"/>
        <w:b/>
      </w:rPr>
    </w:lvl>
    <w:lvl w:ilvl="1" w:tplc="2EEEDBE0">
      <w:start w:val="1"/>
      <w:numFmt w:val="lowerLetter"/>
      <w:lvlText w:val="%2."/>
      <w:lvlJc w:val="left"/>
      <w:pPr>
        <w:ind w:left="1789" w:hanging="360"/>
      </w:pPr>
    </w:lvl>
    <w:lvl w:ilvl="2" w:tplc="AB349700">
      <w:start w:val="1"/>
      <w:numFmt w:val="lowerRoman"/>
      <w:lvlText w:val="%3."/>
      <w:lvlJc w:val="right"/>
      <w:pPr>
        <w:ind w:left="2509" w:hanging="180"/>
      </w:pPr>
    </w:lvl>
    <w:lvl w:ilvl="3" w:tplc="85745550">
      <w:start w:val="1"/>
      <w:numFmt w:val="decimal"/>
      <w:lvlText w:val="%4."/>
      <w:lvlJc w:val="left"/>
      <w:pPr>
        <w:ind w:left="3229" w:hanging="360"/>
      </w:pPr>
    </w:lvl>
    <w:lvl w:ilvl="4" w:tplc="655C178E">
      <w:start w:val="1"/>
      <w:numFmt w:val="lowerLetter"/>
      <w:lvlText w:val="%5."/>
      <w:lvlJc w:val="left"/>
      <w:pPr>
        <w:ind w:left="3949" w:hanging="360"/>
      </w:pPr>
    </w:lvl>
    <w:lvl w:ilvl="5" w:tplc="1DCA34FA">
      <w:start w:val="1"/>
      <w:numFmt w:val="lowerRoman"/>
      <w:lvlText w:val="%6."/>
      <w:lvlJc w:val="right"/>
      <w:pPr>
        <w:ind w:left="4669" w:hanging="180"/>
      </w:pPr>
    </w:lvl>
    <w:lvl w:ilvl="6" w:tplc="C80853C2">
      <w:start w:val="1"/>
      <w:numFmt w:val="decimal"/>
      <w:lvlText w:val="%7."/>
      <w:lvlJc w:val="left"/>
      <w:pPr>
        <w:ind w:left="5389" w:hanging="360"/>
      </w:pPr>
    </w:lvl>
    <w:lvl w:ilvl="7" w:tplc="D47ACA76">
      <w:start w:val="1"/>
      <w:numFmt w:val="lowerLetter"/>
      <w:lvlText w:val="%8."/>
      <w:lvlJc w:val="left"/>
      <w:pPr>
        <w:ind w:left="6109" w:hanging="360"/>
      </w:pPr>
    </w:lvl>
    <w:lvl w:ilvl="8" w:tplc="8B12AED4">
      <w:start w:val="1"/>
      <w:numFmt w:val="lowerRoman"/>
      <w:lvlText w:val="%9."/>
      <w:lvlJc w:val="right"/>
      <w:pPr>
        <w:ind w:left="6829" w:hanging="180"/>
      </w:pPr>
    </w:lvl>
  </w:abstractNum>
  <w:abstractNum w:abstractNumId="27">
    <w:multiLevelType w:val="hybridMultilevel"/>
    <w:lvl w:ilvl="0" w:tplc="9DF2B3A0">
      <w:start w:val="3"/>
      <w:numFmt w:val="decimal"/>
      <w:lvlText w:val="%1)"/>
      <w:lvlJc w:val="left"/>
      <w:pPr>
        <w:ind w:left="1069" w:hanging="360"/>
      </w:pPr>
      <w:rPr>
        <w:rFonts w:hint="default"/>
        <w:b/>
      </w:rPr>
    </w:lvl>
    <w:lvl w:ilvl="1" w:tplc="B9A8DE02">
      <w:start w:val="1"/>
      <w:numFmt w:val="lowerLetter"/>
      <w:lvlText w:val="%2."/>
      <w:lvlJc w:val="left"/>
      <w:pPr>
        <w:ind w:left="1789" w:hanging="360"/>
      </w:pPr>
    </w:lvl>
    <w:lvl w:ilvl="2" w:tplc="79505820">
      <w:start w:val="1"/>
      <w:numFmt w:val="lowerRoman"/>
      <w:lvlText w:val="%3."/>
      <w:lvlJc w:val="right"/>
      <w:pPr>
        <w:ind w:left="2509" w:hanging="180"/>
      </w:pPr>
    </w:lvl>
    <w:lvl w:ilvl="3" w:tplc="26420C94">
      <w:start w:val="1"/>
      <w:numFmt w:val="decimal"/>
      <w:lvlText w:val="%4."/>
      <w:lvlJc w:val="left"/>
      <w:pPr>
        <w:ind w:left="3229" w:hanging="360"/>
      </w:pPr>
    </w:lvl>
    <w:lvl w:ilvl="4" w:tplc="0C14BB6C">
      <w:start w:val="1"/>
      <w:numFmt w:val="lowerLetter"/>
      <w:lvlText w:val="%5."/>
      <w:lvlJc w:val="left"/>
      <w:pPr>
        <w:ind w:left="3949" w:hanging="360"/>
      </w:pPr>
    </w:lvl>
    <w:lvl w:ilvl="5" w:tplc="D752DEAA">
      <w:start w:val="1"/>
      <w:numFmt w:val="lowerRoman"/>
      <w:lvlText w:val="%6."/>
      <w:lvlJc w:val="right"/>
      <w:pPr>
        <w:ind w:left="4669" w:hanging="180"/>
      </w:pPr>
    </w:lvl>
    <w:lvl w:ilvl="6" w:tplc="9CE0C0AA">
      <w:start w:val="1"/>
      <w:numFmt w:val="decimal"/>
      <w:lvlText w:val="%7."/>
      <w:lvlJc w:val="left"/>
      <w:pPr>
        <w:ind w:left="5389" w:hanging="360"/>
      </w:pPr>
    </w:lvl>
    <w:lvl w:ilvl="7" w:tplc="C2A82372">
      <w:start w:val="1"/>
      <w:numFmt w:val="lowerLetter"/>
      <w:lvlText w:val="%8."/>
      <w:lvlJc w:val="left"/>
      <w:pPr>
        <w:ind w:left="6109" w:hanging="360"/>
      </w:pPr>
    </w:lvl>
    <w:lvl w:ilvl="8" w:tplc="2D4E6160">
      <w:start w:val="1"/>
      <w:numFmt w:val="lowerRoman"/>
      <w:lvlText w:val="%9."/>
      <w:lvlJc w:val="right"/>
      <w:pPr>
        <w:ind w:left="6829" w:hanging="180"/>
      </w:pPr>
    </w:lvl>
  </w:abstractNum>
  <w:abstractNum w:abstractNumId="28">
    <w:multiLevelType w:val="hybridMultilevel"/>
    <w:lvl w:ilvl="0" w:tplc="01D46D7C">
      <w:start w:val="1"/>
      <w:numFmt w:val="bullet"/>
      <w:lvlText w:val="·"/>
      <w:lvlJc w:val="left"/>
      <w:pPr>
        <w:ind w:left="709" w:hanging="360"/>
      </w:pPr>
      <w:rPr>
        <w:rFonts w:hint="default" w:ascii="Symbol" w:hAnsi="Symbol" w:eastAsia="Symbol" w:cs="Symbol"/>
        <w:color w:val="333333"/>
        <w:sz w:val="21"/>
      </w:rPr>
    </w:lvl>
    <w:lvl w:ilvl="1" w:tplc="8AFC69AA">
      <w:start w:val="1"/>
      <w:numFmt w:val="bullet"/>
      <w:lvlText w:val="·"/>
      <w:lvlJc w:val="left"/>
      <w:pPr>
        <w:ind w:left="1429" w:hanging="360"/>
      </w:pPr>
      <w:rPr>
        <w:rFonts w:hint="default" w:ascii="Symbol" w:hAnsi="Symbol" w:eastAsia="Symbol" w:cs="Symbol"/>
        <w:color w:val="333333"/>
        <w:sz w:val="21"/>
      </w:rPr>
    </w:lvl>
    <w:lvl w:ilvl="2" w:tplc="20083988">
      <w:start w:val="1"/>
      <w:numFmt w:val="bullet"/>
      <w:lvlText w:val="·"/>
      <w:lvlJc w:val="left"/>
      <w:pPr>
        <w:ind w:left="2149" w:hanging="360"/>
      </w:pPr>
      <w:rPr>
        <w:rFonts w:hint="default" w:ascii="Symbol" w:hAnsi="Symbol" w:eastAsia="Symbol" w:cs="Symbol"/>
        <w:color w:val="333333"/>
        <w:sz w:val="21"/>
      </w:rPr>
    </w:lvl>
    <w:lvl w:ilvl="3" w:tplc="A260AE60">
      <w:start w:val="1"/>
      <w:numFmt w:val="bullet"/>
      <w:lvlText w:val="·"/>
      <w:lvlJc w:val="left"/>
      <w:pPr>
        <w:ind w:left="2869" w:hanging="360"/>
      </w:pPr>
      <w:rPr>
        <w:rFonts w:hint="default" w:ascii="Symbol" w:hAnsi="Symbol" w:eastAsia="Symbol" w:cs="Symbol"/>
        <w:color w:val="333333"/>
        <w:sz w:val="21"/>
      </w:rPr>
    </w:lvl>
    <w:lvl w:ilvl="4" w:tplc="078603B0">
      <w:start w:val="1"/>
      <w:numFmt w:val="bullet"/>
      <w:lvlText w:val="·"/>
      <w:lvlJc w:val="left"/>
      <w:pPr>
        <w:ind w:left="3589" w:hanging="360"/>
      </w:pPr>
      <w:rPr>
        <w:rFonts w:hint="default" w:ascii="Symbol" w:hAnsi="Symbol" w:eastAsia="Symbol" w:cs="Symbol"/>
        <w:color w:val="333333"/>
        <w:sz w:val="21"/>
      </w:rPr>
    </w:lvl>
    <w:lvl w:ilvl="5" w:tplc="CFA22D78">
      <w:start w:val="1"/>
      <w:numFmt w:val="bullet"/>
      <w:lvlText w:val="·"/>
      <w:lvlJc w:val="left"/>
      <w:pPr>
        <w:ind w:left="4309" w:hanging="360"/>
      </w:pPr>
      <w:rPr>
        <w:rFonts w:hint="default" w:ascii="Symbol" w:hAnsi="Symbol" w:eastAsia="Symbol" w:cs="Symbol"/>
        <w:color w:val="333333"/>
        <w:sz w:val="21"/>
      </w:rPr>
    </w:lvl>
    <w:lvl w:ilvl="6" w:tplc="ADC04D8C">
      <w:start w:val="1"/>
      <w:numFmt w:val="bullet"/>
      <w:lvlText w:val="·"/>
      <w:lvlJc w:val="left"/>
      <w:pPr>
        <w:ind w:left="5029" w:hanging="360"/>
      </w:pPr>
      <w:rPr>
        <w:rFonts w:hint="default" w:ascii="Symbol" w:hAnsi="Symbol" w:eastAsia="Symbol" w:cs="Symbol"/>
        <w:color w:val="333333"/>
        <w:sz w:val="21"/>
      </w:rPr>
    </w:lvl>
    <w:lvl w:ilvl="7" w:tplc="7EDC4E44">
      <w:start w:val="1"/>
      <w:numFmt w:val="bullet"/>
      <w:lvlText w:val="·"/>
      <w:lvlJc w:val="left"/>
      <w:pPr>
        <w:ind w:left="5749" w:hanging="360"/>
      </w:pPr>
      <w:rPr>
        <w:rFonts w:hint="default" w:ascii="Symbol" w:hAnsi="Symbol" w:eastAsia="Symbol" w:cs="Symbol"/>
        <w:color w:val="333333"/>
        <w:sz w:val="21"/>
      </w:rPr>
    </w:lvl>
    <w:lvl w:ilvl="8" w:tplc="F1DC33A6">
      <w:start w:val="1"/>
      <w:numFmt w:val="bullet"/>
      <w:lvlText w:val="·"/>
      <w:lvlJc w:val="left"/>
      <w:pPr>
        <w:ind w:left="6469" w:hanging="360"/>
      </w:pPr>
      <w:rPr>
        <w:rFonts w:hint="default" w:ascii="Symbol" w:hAnsi="Symbol" w:eastAsia="Symbol" w:cs="Symbol"/>
        <w:color w:val="333333"/>
        <w:sz w:val="21"/>
      </w:rPr>
    </w:lvl>
  </w:abstractNum>
  <w:abstractNum w:abstractNumId="29">
    <w:multiLevelType w:val="hybridMultilevel"/>
    <w:lvl w:ilvl="0" w:tplc="AD647C3A">
      <w:start w:val="1"/>
      <w:numFmt w:val="bullet"/>
      <w:lvlText w:val=""/>
      <w:lvlJc w:val="left"/>
      <w:pPr>
        <w:ind w:left="1571" w:hanging="360"/>
      </w:pPr>
      <w:rPr>
        <w:rFonts w:hint="default" w:ascii="Symbol" w:hAnsi="Symbol"/>
      </w:rPr>
    </w:lvl>
    <w:lvl w:ilvl="1" w:tplc="51D82328">
      <w:start w:val="1"/>
      <w:numFmt w:val="bullet"/>
      <w:lvlText w:val="o"/>
      <w:lvlJc w:val="left"/>
      <w:pPr>
        <w:ind w:left="2291" w:hanging="360"/>
      </w:pPr>
      <w:rPr>
        <w:rFonts w:hint="default" w:ascii="Courier New" w:hAnsi="Courier New" w:cs="Courier New"/>
      </w:rPr>
    </w:lvl>
    <w:lvl w:ilvl="2" w:tplc="FE803194">
      <w:start w:val="1"/>
      <w:numFmt w:val="bullet"/>
      <w:lvlText w:val=""/>
      <w:lvlJc w:val="left"/>
      <w:pPr>
        <w:ind w:left="3011" w:hanging="360"/>
      </w:pPr>
      <w:rPr>
        <w:rFonts w:hint="default" w:ascii="Wingdings" w:hAnsi="Wingdings"/>
      </w:rPr>
    </w:lvl>
    <w:lvl w:ilvl="3" w:tplc="813EB682">
      <w:start w:val="1"/>
      <w:numFmt w:val="bullet"/>
      <w:lvlText w:val=""/>
      <w:lvlJc w:val="left"/>
      <w:pPr>
        <w:ind w:left="3731" w:hanging="360"/>
      </w:pPr>
      <w:rPr>
        <w:rFonts w:hint="default" w:ascii="Symbol" w:hAnsi="Symbol"/>
      </w:rPr>
    </w:lvl>
    <w:lvl w:ilvl="4" w:tplc="21B0A52C">
      <w:start w:val="1"/>
      <w:numFmt w:val="bullet"/>
      <w:lvlText w:val="o"/>
      <w:lvlJc w:val="left"/>
      <w:pPr>
        <w:ind w:left="4451" w:hanging="360"/>
      </w:pPr>
      <w:rPr>
        <w:rFonts w:hint="default" w:ascii="Courier New" w:hAnsi="Courier New" w:cs="Courier New"/>
      </w:rPr>
    </w:lvl>
    <w:lvl w:ilvl="5" w:tplc="0CBE4144">
      <w:start w:val="1"/>
      <w:numFmt w:val="bullet"/>
      <w:lvlText w:val=""/>
      <w:lvlJc w:val="left"/>
      <w:pPr>
        <w:ind w:left="5171" w:hanging="360"/>
      </w:pPr>
      <w:rPr>
        <w:rFonts w:hint="default" w:ascii="Wingdings" w:hAnsi="Wingdings"/>
      </w:rPr>
    </w:lvl>
    <w:lvl w:ilvl="6" w:tplc="50A2A8B8">
      <w:start w:val="1"/>
      <w:numFmt w:val="bullet"/>
      <w:lvlText w:val=""/>
      <w:lvlJc w:val="left"/>
      <w:pPr>
        <w:ind w:left="5891" w:hanging="360"/>
      </w:pPr>
      <w:rPr>
        <w:rFonts w:hint="default" w:ascii="Symbol" w:hAnsi="Symbol"/>
      </w:rPr>
    </w:lvl>
    <w:lvl w:ilvl="7" w:tplc="34B2F174">
      <w:start w:val="1"/>
      <w:numFmt w:val="bullet"/>
      <w:lvlText w:val="o"/>
      <w:lvlJc w:val="left"/>
      <w:pPr>
        <w:ind w:left="6611" w:hanging="360"/>
      </w:pPr>
      <w:rPr>
        <w:rFonts w:hint="default" w:ascii="Courier New" w:hAnsi="Courier New" w:cs="Courier New"/>
      </w:rPr>
    </w:lvl>
    <w:lvl w:ilvl="8" w:tplc="A3626E28">
      <w:start w:val="1"/>
      <w:numFmt w:val="bullet"/>
      <w:lvlText w:val=""/>
      <w:lvlJc w:val="left"/>
      <w:pPr>
        <w:ind w:left="7331" w:hanging="360"/>
      </w:pPr>
      <w:rPr>
        <w:rFonts w:hint="default" w:ascii="Wingdings" w:hAnsi="Wingdings"/>
      </w:rPr>
    </w:lvl>
  </w:abstractNum>
  <w:abstractNum w:abstractNumId="30">
    <w:multiLevelType w:val="hybridMultilevel"/>
    <w:lvl w:ilvl="0" w:tplc="3C7600B6">
      <w:start w:val="11"/>
      <w:numFmt w:val="decimal"/>
      <w:lvlText w:val="%1."/>
      <w:lvlJc w:val="left"/>
      <w:pPr>
        <w:ind w:left="735" w:hanging="375"/>
      </w:pPr>
      <w:rPr>
        <w:rFonts w:hint="default"/>
      </w:rPr>
    </w:lvl>
    <w:lvl w:ilvl="1" w:tplc="C7AA4BE8">
      <w:start w:val="1"/>
      <w:numFmt w:val="lowerLetter"/>
      <w:lvlText w:val="%2."/>
      <w:lvlJc w:val="left"/>
      <w:pPr>
        <w:ind w:left="1440" w:hanging="360"/>
      </w:pPr>
    </w:lvl>
    <w:lvl w:ilvl="2" w:tplc="547452AE">
      <w:start w:val="1"/>
      <w:numFmt w:val="lowerRoman"/>
      <w:lvlText w:val="%3."/>
      <w:lvlJc w:val="right"/>
      <w:pPr>
        <w:ind w:left="2160" w:hanging="180"/>
      </w:pPr>
    </w:lvl>
    <w:lvl w:ilvl="3" w:tplc="64F8FA6C">
      <w:start w:val="1"/>
      <w:numFmt w:val="decimal"/>
      <w:lvlText w:val="%4."/>
      <w:lvlJc w:val="left"/>
      <w:pPr>
        <w:ind w:left="2880" w:hanging="360"/>
      </w:pPr>
    </w:lvl>
    <w:lvl w:ilvl="4" w:tplc="CB643930">
      <w:start w:val="1"/>
      <w:numFmt w:val="lowerLetter"/>
      <w:lvlText w:val="%5."/>
      <w:lvlJc w:val="left"/>
      <w:pPr>
        <w:ind w:left="3600" w:hanging="360"/>
      </w:pPr>
    </w:lvl>
    <w:lvl w:ilvl="5" w:tplc="3C1EC4EC">
      <w:start w:val="1"/>
      <w:numFmt w:val="lowerRoman"/>
      <w:lvlText w:val="%6."/>
      <w:lvlJc w:val="right"/>
      <w:pPr>
        <w:ind w:left="4320" w:hanging="180"/>
      </w:pPr>
    </w:lvl>
    <w:lvl w:ilvl="6" w:tplc="39E67558">
      <w:start w:val="1"/>
      <w:numFmt w:val="decimal"/>
      <w:lvlText w:val="%7."/>
      <w:lvlJc w:val="left"/>
      <w:pPr>
        <w:ind w:left="5040" w:hanging="360"/>
      </w:pPr>
    </w:lvl>
    <w:lvl w:ilvl="7" w:tplc="49B62C6A">
      <w:start w:val="1"/>
      <w:numFmt w:val="lowerLetter"/>
      <w:lvlText w:val="%8."/>
      <w:lvlJc w:val="left"/>
      <w:pPr>
        <w:ind w:left="5760" w:hanging="360"/>
      </w:pPr>
    </w:lvl>
    <w:lvl w:ilvl="8" w:tplc="4294AE76">
      <w:start w:val="1"/>
      <w:numFmt w:val="lowerRoman"/>
      <w:lvlText w:val="%9."/>
      <w:lvlJc w:val="right"/>
      <w:pPr>
        <w:ind w:left="6480" w:hanging="180"/>
      </w:pPr>
    </w:lvl>
  </w:abstractNum>
  <w:num w:numId="1">
    <w:abstractNumId w:val="11"/>
  </w:num>
  <w:num w:numId="2">
    <w:abstractNumId w:val="18"/>
  </w:num>
  <w:num w:numId="3">
    <w:abstractNumId w:val="12"/>
  </w:num>
  <w:num w:numId="4">
    <w:abstractNumId w:val="2"/>
  </w:num>
  <w:num w:numId="5">
    <w:abstractNumId w:val="22"/>
  </w:num>
  <w:num w:numId="6">
    <w:abstractNumId w:val="14"/>
  </w:num>
  <w:num w:numId="7">
    <w:abstractNumId w:val="6"/>
  </w:num>
  <w:num w:numId="8">
    <w:abstractNumId w:val="21"/>
  </w:num>
  <w:num w:numId="9">
    <w:abstractNumId w:val="20"/>
  </w:num>
  <w:num w:numId="10">
    <w:abstractNumId w:val="10"/>
  </w:num>
  <w:num w:numId="11">
    <w:abstractNumId w:val="30"/>
  </w:num>
  <w:num w:numId="12">
    <w:abstractNumId w:val="13"/>
  </w:num>
  <w:num w:numId="13">
    <w:abstractNumId w:val="24"/>
  </w:num>
  <w:num w:numId="14">
    <w:abstractNumId w:val="3"/>
  </w:num>
  <w:num w:numId="15">
    <w:abstractNumId w:val="1"/>
  </w:num>
  <w:num w:numId="16">
    <w:abstractNumId w:val="5"/>
  </w:num>
  <w:num w:numId="17">
    <w:abstractNumId w:val="7"/>
  </w:num>
  <w:num w:numId="18">
    <w:abstractNumId w:val="17"/>
  </w:num>
  <w:num w:numId="19">
    <w:abstractNumId w:val="16"/>
  </w:num>
  <w:num w:numId="20">
    <w:abstractNumId w:val="27"/>
  </w:num>
  <w:num w:numId="21">
    <w:abstractNumId w:val="26"/>
  </w:num>
  <w:num w:numId="22">
    <w:abstractNumId w:val="4"/>
  </w:num>
  <w:num w:numId="23">
    <w:abstractNumId w:val="23"/>
  </w:num>
  <w:num w:numId="24">
    <w:abstractNumId w:val="25"/>
  </w:num>
  <w:num w:numId="25">
    <w:abstractNumId w:val="19"/>
  </w:num>
  <w:num w:numId="26">
    <w:abstractNumId w:val="8"/>
  </w:num>
  <w:num w:numId="27">
    <w:abstractNumId w:val="15"/>
  </w:num>
  <w:num w:numId="28">
    <w:abstractNumId w:val="0"/>
  </w:num>
  <w:num w:numId="29">
    <w:abstractNumId w:val="29"/>
  </w:num>
  <w:num w:numId="30">
    <w:abstractNumId w:val="9"/>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val="true"/>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a" w:default="1">
    <w:name w:val="Normal"/>
    <w:qFormat/>
    <w:rPr>
      <w:sz w:val="24"/>
      <w:szCs w:val="24"/>
    </w:rPr>
  </w:style>
  <w:style w:type="paragraph" w:styleId="1">
    <w:name w:val="heading 1"/>
    <w:basedOn w:val="a"/>
    <w:next w:val="a"/>
    <w:link w:val="10"/>
    <w:qFormat/>
    <w:pPr>
      <w:keepNext/>
      <w:spacing w:before="240" w:after="60"/>
      <w:outlineLvl w:val="0"/>
    </w:pPr>
    <w:rPr>
      <w:rFonts w:ascii="Arial" w:hAnsi="Arial"/>
      <w:b/>
      <w:bCs/>
      <w:sz w:val="32"/>
      <w:szCs w:val="32"/>
    </w:rPr>
  </w:style>
  <w:style w:type="paragraph" w:styleId="2">
    <w:name w:val="heading 2"/>
    <w:basedOn w:val="a"/>
    <w:next w:val="a"/>
    <w:link w:val="20"/>
    <w:qFormat/>
    <w:pPr>
      <w:keepNext/>
      <w:jc w:val="both"/>
      <w:outlineLvl w:val="1"/>
    </w:pPr>
    <w:rPr>
      <w:b/>
      <w:bCs/>
      <w:sz w:val="26"/>
    </w:rPr>
  </w:style>
  <w:style w:type="paragraph" w:styleId="3">
    <w:name w:val="heading 3"/>
    <w:basedOn w:val="a"/>
    <w:next w:val="a"/>
    <w:link w:val="30"/>
    <w:qFormat/>
    <w:pPr>
      <w:keepNext/>
      <w:jc w:val="both"/>
      <w:outlineLvl w:val="2"/>
    </w:pPr>
    <w:rPr>
      <w:b/>
      <w:bCs/>
      <w:sz w:val="28"/>
    </w:rPr>
  </w:style>
  <w:style w:type="paragraph" w:styleId="4">
    <w:name w:val="heading 4"/>
    <w:basedOn w:val="a"/>
    <w:next w:val="a"/>
    <w:link w:val="40"/>
    <w:qFormat/>
    <w:pPr>
      <w:keepNext/>
      <w:widowControl w:val="off"/>
      <w:ind w:right="-284"/>
      <w:jc w:val="center"/>
      <w:outlineLvl w:val="3"/>
    </w:pPr>
    <w:rPr>
      <w:rFonts w:ascii="Calibri" w:hAnsi="Calibri"/>
      <w:b/>
      <w:bCs/>
      <w:sz w:val="28"/>
      <w:szCs w:val="28"/>
    </w:rPr>
  </w:style>
  <w:style w:type="paragraph" w:styleId="5">
    <w:name w:val="heading 5"/>
    <w:basedOn w:val="a"/>
    <w:next w:val="a"/>
    <w:link w:val="50"/>
    <w:qFormat/>
    <w:pPr>
      <w:spacing w:before="240" w:after="60"/>
      <w:outlineLvl w:val="4"/>
    </w:pPr>
    <w:rPr>
      <w:rFonts w:ascii="Calibri" w:hAnsi="Calibri"/>
      <w:b/>
      <w:bCs/>
      <w:i/>
      <w:iCs/>
      <w:sz w:val="26"/>
      <w:szCs w:val="26"/>
    </w:rPr>
  </w:style>
  <w:style w:type="paragraph" w:styleId="6">
    <w:name w:val="heading 6"/>
    <w:basedOn w:val="a"/>
    <w:next w:val="a"/>
    <w:link w:val="60"/>
    <w:qFormat/>
    <w:pPr>
      <w:keepNext/>
      <w:ind w:firstLine="27"/>
      <w:outlineLvl w:val="5"/>
    </w:pPr>
    <w:rPr>
      <w:color w:val="000000"/>
      <w:sz w:val="28"/>
      <w:szCs w:val="28"/>
    </w:rPr>
  </w:style>
  <w:style w:type="paragraph" w:styleId="7">
    <w:name w:val="heading 7"/>
    <w:basedOn w:val="a"/>
    <w:next w:val="a"/>
    <w:link w:val="70"/>
    <w:qFormat/>
    <w:pPr>
      <w:keepNext/>
      <w:ind w:right="-250"/>
      <w:jc w:val="right"/>
      <w:outlineLvl w:val="6"/>
    </w:pPr>
    <w:rPr>
      <w:rFonts w:ascii="Calibri" w:hAnsi="Calibri"/>
    </w:rPr>
  </w:style>
  <w:style w:type="paragraph" w:styleId="8">
    <w:name w:val="heading 8"/>
    <w:basedOn w:val="a"/>
    <w:next w:val="a"/>
    <w:link w:val="80"/>
    <w:qFormat/>
    <w:pPr>
      <w:keepNext/>
      <w:widowControl w:val="off"/>
      <w:spacing w:line="235" w:lineRule="auto"/>
      <w:outlineLvl w:val="7"/>
    </w:pPr>
    <w:rPr>
      <w:rFonts w:ascii="Calibri" w:hAnsi="Calibri"/>
      <w:i/>
      <w:iCs/>
    </w:rPr>
  </w:style>
  <w:style w:type="paragraph" w:styleId="9">
    <w:name w:val="heading 9"/>
    <w:basedOn w:val="a"/>
    <w:next w:val="a"/>
    <w:link w:val="90"/>
    <w:qFormat/>
    <w:pPr>
      <w:keepNext/>
      <w:widowControl w:val="off"/>
      <w:outlineLvl w:val="8"/>
    </w:pPr>
    <w:rPr>
      <w:rFonts w:ascii="Cambria" w:hAnsi="Cambria"/>
      <w:sz w:val="20"/>
      <w:szCs w:val="20"/>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left w:w="108" w:type="dxa"/>
        <w:top w:w="0" w:type="dxa"/>
        <w:right w:w="108" w:type="dxa"/>
        <w:bottom w:w="0" w:type="dxa"/>
      </w:tblCellMar>
    </w:tblPr>
  </w:style>
  <w:style w:type="numbering" w:styleId="a2" w:default="1">
    <w:name w:val="No List"/>
    <w:uiPriority w:val="99"/>
    <w:semiHidden/>
    <w:unhideWhenUsed/>
  </w:style>
  <w:style w:type="character" w:styleId="TitleChar" w:customStyle="1">
    <w:name w:val="Title Char"/>
    <w:basedOn w:val="a0"/>
    <w:uiPriority w:val="10"/>
    <w:rPr>
      <w:sz w:val="48"/>
      <w:szCs w:val="48"/>
    </w:rPr>
  </w:style>
  <w:style w:type="character" w:styleId="SubtitleChar" w:customStyle="1">
    <w:name w:val="Subtitle Char"/>
    <w:basedOn w:val="a0"/>
    <w:uiPriority w:val="11"/>
    <w:rPr>
      <w:sz w:val="24"/>
      <w:szCs w:val="24"/>
    </w:rPr>
  </w:style>
  <w:style w:type="character" w:styleId="QuoteChar" w:customStyle="1">
    <w:name w:val="Quote Char"/>
    <w:uiPriority w:val="29"/>
    <w:rPr>
      <w:i/>
    </w:rPr>
  </w:style>
  <w:style w:type="character" w:styleId="IntenseQuoteChar" w:customStyle="1">
    <w:name w:val="Intense Quote Char"/>
    <w:uiPriority w:val="30"/>
    <w:rPr>
      <w:i/>
    </w:rPr>
  </w:style>
  <w:style w:type="character" w:styleId="EndnoteTextChar" w:customStyle="1">
    <w:name w:val="Endnote Text Char"/>
    <w:uiPriority w:val="99"/>
    <w:rPr>
      <w:sz w:val="20"/>
    </w:rPr>
  </w:style>
  <w:style w:type="character" w:styleId="Heading1Char" w:customStyle="1">
    <w:name w:val="Heading 1 Char"/>
    <w:basedOn w:val="a0"/>
    <w:uiPriority w:val="9"/>
    <w:rPr>
      <w:rFonts w:ascii="Arial" w:hAnsi="Arial" w:eastAsia="Arial" w:cs="Arial"/>
      <w:sz w:val="40"/>
      <w:szCs w:val="40"/>
    </w:rPr>
  </w:style>
  <w:style w:type="character" w:styleId="Heading2Char" w:customStyle="1">
    <w:name w:val="Heading 2 Char"/>
    <w:basedOn w:val="a0"/>
    <w:uiPriority w:val="9"/>
    <w:rPr>
      <w:rFonts w:ascii="Arial" w:hAnsi="Arial" w:eastAsia="Arial" w:cs="Arial"/>
      <w:sz w:val="34"/>
    </w:rPr>
  </w:style>
  <w:style w:type="character" w:styleId="Heading3Char" w:customStyle="1">
    <w:name w:val="Heading 3 Char"/>
    <w:basedOn w:val="a0"/>
    <w:uiPriority w:val="9"/>
    <w:rPr>
      <w:rFonts w:ascii="Arial" w:hAnsi="Arial" w:eastAsia="Arial" w:cs="Arial"/>
      <w:sz w:val="30"/>
      <w:szCs w:val="30"/>
    </w:rPr>
  </w:style>
  <w:style w:type="character" w:styleId="Heading4Char" w:customStyle="1">
    <w:name w:val="Heading 4 Char"/>
    <w:basedOn w:val="a0"/>
    <w:uiPriority w:val="9"/>
    <w:rPr>
      <w:rFonts w:ascii="Arial" w:hAnsi="Arial" w:eastAsia="Arial" w:cs="Arial"/>
      <w:b/>
      <w:bCs/>
      <w:sz w:val="26"/>
      <w:szCs w:val="26"/>
    </w:rPr>
  </w:style>
  <w:style w:type="character" w:styleId="Heading5Char" w:customStyle="1">
    <w:name w:val="Heading 5 Char"/>
    <w:basedOn w:val="a0"/>
    <w:uiPriority w:val="9"/>
    <w:rPr>
      <w:rFonts w:ascii="Arial" w:hAnsi="Arial" w:eastAsia="Arial" w:cs="Arial"/>
      <w:b/>
      <w:bCs/>
      <w:sz w:val="24"/>
      <w:szCs w:val="24"/>
    </w:rPr>
  </w:style>
  <w:style w:type="character" w:styleId="Heading6Char" w:customStyle="1">
    <w:name w:val="Heading 6 Char"/>
    <w:basedOn w:val="a0"/>
    <w:uiPriority w:val="9"/>
    <w:rPr>
      <w:rFonts w:ascii="Arial" w:hAnsi="Arial" w:eastAsia="Arial" w:cs="Arial"/>
      <w:b/>
      <w:bCs/>
      <w:sz w:val="22"/>
      <w:szCs w:val="22"/>
    </w:rPr>
  </w:style>
  <w:style w:type="character" w:styleId="Heading7Char" w:customStyle="1">
    <w:name w:val="Heading 7 Char"/>
    <w:basedOn w:val="a0"/>
    <w:uiPriority w:val="9"/>
    <w:rPr>
      <w:rFonts w:ascii="Arial" w:hAnsi="Arial" w:eastAsia="Arial" w:cs="Arial"/>
      <w:b/>
      <w:bCs/>
      <w:i/>
      <w:iCs/>
      <w:sz w:val="22"/>
      <w:szCs w:val="22"/>
    </w:rPr>
  </w:style>
  <w:style w:type="character" w:styleId="Heading8Char" w:customStyle="1">
    <w:name w:val="Heading 8 Char"/>
    <w:basedOn w:val="a0"/>
    <w:uiPriority w:val="9"/>
    <w:rPr>
      <w:rFonts w:ascii="Arial" w:hAnsi="Arial" w:eastAsia="Arial" w:cs="Arial"/>
      <w:i/>
      <w:iCs/>
      <w:sz w:val="22"/>
      <w:szCs w:val="22"/>
    </w:rPr>
  </w:style>
  <w:style w:type="character" w:styleId="Heading9Char" w:customStyle="1">
    <w:name w:val="Heading 9 Char"/>
    <w:basedOn w:val="a0"/>
    <w:uiPriority w:val="9"/>
    <w:rPr>
      <w:rFonts w:ascii="Arial" w:hAnsi="Arial" w:eastAsia="Arial" w:cs="Arial"/>
      <w:i/>
      <w:iCs/>
      <w:sz w:val="21"/>
      <w:szCs w:val="21"/>
    </w:rPr>
  </w:style>
  <w:style w:type="paragraph" w:styleId="a3">
    <w:name w:val="List Paragraph"/>
    <w:basedOn w:val="a"/>
    <w:uiPriority w:val="34"/>
    <w:qFormat/>
    <w:pPr>
      <w:ind w:left="720"/>
      <w:contextualSpacing/>
    </w:pPr>
  </w:style>
  <w:style w:type="paragraph" w:styleId="a4">
    <w:name w:val="Title"/>
    <w:basedOn w:val="a"/>
    <w:next w:val="a"/>
    <w:link w:val="a5"/>
    <w:uiPriority w:val="10"/>
    <w:qFormat/>
    <w:pPr>
      <w:spacing w:before="300" w:after="200"/>
      <w:contextualSpacing/>
    </w:pPr>
    <w:rPr>
      <w:sz w:val="48"/>
      <w:szCs w:val="48"/>
    </w:rPr>
  </w:style>
  <w:style w:type="character" w:styleId="a5" w:customStyle="1">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styleId="a7" w:customStyle="1">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styleId="22" w:customStyle="1">
    <w:name w:val="Цитата 2 Знак"/>
    <w:link w:val="21"/>
    <w:uiPriority w:val="29"/>
    <w:rPr>
      <w:i/>
    </w:rPr>
  </w:style>
  <w:style w:type="paragraph" w:styleId="a8">
    <w:name w:val="Intense Quote"/>
    <w:basedOn w:val="a"/>
    <w:next w:val="a"/>
    <w:link w:val="a9"/>
    <w:uiPriority w:val="30"/>
    <w:qFormat/>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styleId="a9" w:customStyle="1">
    <w:name w:val="Выделенная цитата Знак"/>
    <w:link w:val="a8"/>
    <w:uiPriority w:val="30"/>
    <w:rPr>
      <w:i/>
    </w:rPr>
  </w:style>
  <w:style w:type="character" w:styleId="HeaderChar" w:customStyle="1">
    <w:name w:val="Header Char"/>
    <w:basedOn w:val="a0"/>
    <w:uiPriority w:val="99"/>
  </w:style>
  <w:style w:type="character" w:styleId="FooterChar" w:customStyle="1">
    <w:name w:val="Footer Char"/>
    <w:basedOn w:val="a0"/>
    <w:uiPriority w:val="99"/>
  </w:style>
  <w:style w:type="character" w:styleId="aa" w:customStyle="1">
    <w:name w:val="Название объекта Знак"/>
    <w:link w:val="ab"/>
    <w:uiPriority w:val="99"/>
  </w:style>
  <w:style w:type="table" w:styleId="TableGridLight" w:customStyle="1">
    <w:name w:val="Table Grid Light"/>
    <w:basedOn w:val="a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11">
    <w:name w:val="Plain Table 1"/>
    <w:basedOn w:val="a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2f2f2" w:themeColor="text1" w:themeTint="0D" w:fill="f2f2f2" w:themeFill="text1" w:themeFillTint="0D"/>
      </w:tcPr>
    </w:tblStylePr>
    <w:tblStylePr w:type="band1Horz">
      <w:tcPr>
        <w:shd w:val="clear" w:color="f2f2f2" w:themeColor="text1" w:themeTint="0D" w:fill="f2f2f2" w:themeFill="text1" w:themeFillTint="0D"/>
      </w:tcPr>
    </w:tblStylePr>
  </w:style>
  <w:style w:type="table" w:styleId="23">
    <w:name w:val="Plain Table 2"/>
    <w:basedOn w:val="a1"/>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styleId="31">
    <w:name w:val="Plain Table 3"/>
    <w:basedOn w:val="a1"/>
    <w:uiPriority w:val="99"/>
    <w:tblPr>
      <w:tblStyleRowBandSize w:val="1"/>
      <w:tblStyleColBandSize w:val="1"/>
    </w:tbl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StylePr>
    <w:tblStylePr w:type="band1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cPr>
        <w:tcBorders>
          <w:left w:val="none" w:color="000000" w:sz="4" w:space="0"/>
          <w:bottom w:val="single" w:color="404040" w:sz="4" w:space="0"/>
          <w:right w:val="none" w:color="000000" w:sz="4" w:space="0"/>
        </w:tcBorders>
        <w:shd w:val="clear" w:color="ffffff" w:fill="auto"/>
      </w:tcPr>
    </w:tblStylePr>
    <w:tblStylePr w:type="lastRow">
      <w:rPr>
        <w:i/>
        <w:color w:val="404040"/>
      </w:rPr>
      <w:tcPr>
        <w:tcBorders>
          <w:top w:val="single" w:color="404040" w:sz="4" w:space="0"/>
          <w:left w:val="none" w:color="000000" w:sz="4" w:space="0"/>
          <w:right w:val="none" w:color="000000" w:sz="4" w:space="0"/>
        </w:tcBorders>
        <w:shd w:val="clear" w:color="ffffff" w:fill="auto"/>
      </w:tcPr>
    </w:tblStylePr>
    <w:tblStylePr w:type="firstCol">
      <w:rPr>
        <w:i/>
        <w:color w:val="404040"/>
      </w:rPr>
      <w:pPr>
        <w:jc w:val="right"/>
      </w:p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cPr>
        <w:tcBorders>
          <w:bottom w:val="single" w:color="6A6A6A"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style>
  <w:style w:type="table" w:styleId="GridTable1Light-Accent1" w:customStyle="1">
    <w:name w:val="Grid Table 1 Light - Accent 1"/>
    <w:basedOn w:val="a1"/>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E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style>
  <w:style w:type="table" w:styleId="GridTable1Light-Accent2" w:customStyle="1">
    <w:name w:val="Grid Table 1 Light - Accent 2"/>
    <w:basedOn w:val="a1"/>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2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styleId="GridTable1Light-Accent3" w:customStyle="1">
    <w:name w:val="Grid Table 1 Light - Accent 3"/>
    <w:basedOn w:val="a1"/>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styleId="GridTable1Light-Accent4" w:customStyle="1">
    <w:name w:val="Grid Table 1 Light - Accent 4"/>
    <w:basedOn w:val="a1"/>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b/>
        <w:color w:val="404040"/>
      </w:rPr>
      <w:tcPr>
        <w:tcBorders>
          <w:bottom w:val="single" w:color="FFDA6A"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style>
  <w:style w:type="table" w:styleId="GridTable1Light-Accent5" w:customStyle="1">
    <w:name w:val="Grid Table 1 Light - Accent 5"/>
    <w:basedOn w:val="a1"/>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style>
  <w:style w:type="table" w:styleId="GridTable1Light-Accent6" w:customStyle="1">
    <w:name w:val="Grid Table 1 Light - Accent 6"/>
    <w:basedOn w:val="a1"/>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table" w:styleId="-2">
    <w:name w:val="Grid Table 2"/>
    <w:basedOn w:val="a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cPr>
        <w:tcBorders>
          <w:top w:val="none" w:color="000000" w:sz="4" w:space="0"/>
          <w:left w:val="none" w:color="000000" w:sz="4" w:space="0"/>
          <w:bottom w:val="single" w:color="6A6A6A" w:themeColor="text1" w:themeTint="95" w:sz="12" w:space="0"/>
          <w:right w:val="none" w:color="000000" w:sz="4" w:space="0"/>
        </w:tcBorders>
        <w:shd w:val="clear" w:color="ffffff" w:fill="auto"/>
      </w:tcPr>
    </w:tblStylePr>
    <w:tblStylePr w:type="lastRow">
      <w:rPr>
        <w:b/>
        <w:color w:val="404040"/>
      </w:rPr>
      <w:tcPr>
        <w:tcBorders>
          <w:top w:val="single" w:color="6A6A6A" w:themeColor="text1" w:themeTint="95"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GridTable2-Accent1" w:customStyle="1">
    <w:name w:val="Grid Table 2 - Accent 1"/>
    <w:basedOn w:val="a1"/>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firstRow">
      <w:rPr>
        <w:b/>
        <w:color w:val="404040"/>
      </w:rPr>
      <w:tcPr>
        <w:tcBorders>
          <w:top w:val="none" w:color="000000" w:sz="4" w:space="0"/>
          <w:left w:val="none" w:color="000000" w:sz="4" w:space="0"/>
          <w:bottom w:val="single" w:color="68A2D8" w:themeColor="accent1" w:themeTint="EA" w:sz="12" w:space="0"/>
          <w:right w:val="none" w:color="000000" w:sz="4" w:space="0"/>
        </w:tcBorders>
        <w:shd w:val="clear" w:color="ffffff" w:fill="auto"/>
      </w:tcPr>
    </w:tblStylePr>
    <w:tblStylePr w:type="lastRow">
      <w:rPr>
        <w:b/>
        <w:color w:val="404040"/>
      </w:rPr>
      <w:tcPr>
        <w:tcBorders>
          <w:top w:val="single" w:color="68A2D8" w:themeColor="accent1" w:themeTint="EA"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1Horz">
      <w:rPr>
        <w:rFonts w:ascii="Arial" w:hAnsi="Arial"/>
        <w:color w:val="404040"/>
        <w:sz w:val="22"/>
      </w:rPr>
      <w:tcPr>
        <w:shd w:val="clear" w:color="ddeaf6" w:themeColor="accent1" w:themeTint="34" w:fill="ddeaf6" w:themeFill="accent1" w:themeFillTint="34"/>
      </w:tcPr>
    </w:tblStylePr>
  </w:style>
  <w:style w:type="table" w:styleId="GridTable2-Accent2" w:customStyle="1">
    <w:name w:val="Grid Table 2 - Accent 2"/>
    <w:basedOn w:val="a1"/>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404040"/>
      </w:rPr>
      <w:tcPr>
        <w:tcBorders>
          <w:top w:val="none" w:color="000000" w:sz="4" w:space="0"/>
          <w:left w:val="none" w:color="000000" w:sz="4" w:space="0"/>
          <w:bottom w:val="single" w:color="F4B184" w:themeColor="accent2" w:themeTint="97" w:sz="12" w:space="0"/>
          <w:right w:val="none" w:color="000000" w:sz="4" w:space="0"/>
        </w:tcBorders>
        <w:shd w:val="clear" w:color="ffffff" w:fill="auto"/>
      </w:tcPr>
    </w:tblStylePr>
    <w:tblStylePr w:type="lastRow">
      <w:rPr>
        <w:b/>
        <w:color w:val="404040"/>
      </w:rPr>
      <w:tcPr>
        <w:tcBorders>
          <w:top w:val="single" w:color="F4B184" w:themeColor="accent2" w:themeTint="97"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styleId="GridTable2-Accent3" w:customStyle="1">
    <w:name w:val="Grid Table 2 - Accent 3"/>
    <w:basedOn w:val="a1"/>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one" w:color="000000" w:sz="4" w:space="0"/>
          <w:left w:val="none" w:color="000000" w:sz="4" w:space="0"/>
          <w:bottom w:val="single" w:color="A5A5A5" w:themeColor="accent3" w:themeTint="FE" w:sz="12" w:space="0"/>
          <w:right w:val="none" w:color="000000" w:sz="4" w:space="0"/>
        </w:tcBorders>
        <w:shd w:val="clear" w:color="ffffff" w:fill="auto"/>
      </w:tcPr>
    </w:tblStylePr>
    <w:tblStylePr w:type="lastRow">
      <w:rPr>
        <w:b/>
        <w:color w:val="404040"/>
      </w:rPr>
      <w:tcPr>
        <w:tcBorders>
          <w:top w:val="single" w:color="A5A5A5" w:themeColor="accent3" w:themeTint="FE"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styleId="GridTable2-Accent4" w:customStyle="1">
    <w:name w:val="Grid Table 2 - Accent 4"/>
    <w:basedOn w:val="a1"/>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404040"/>
      </w:rPr>
      <w:tcPr>
        <w:tcBorders>
          <w:top w:val="none" w:color="000000" w:sz="4" w:space="0"/>
          <w:left w:val="none" w:color="000000" w:sz="4" w:space="0"/>
          <w:bottom w:val="single" w:color="FFD865" w:themeColor="accent4" w:themeTint="9A" w:sz="12" w:space="0"/>
          <w:right w:val="none" w:color="000000" w:sz="4" w:space="0"/>
        </w:tcBorders>
        <w:shd w:val="clear" w:color="ffffff" w:fill="auto"/>
      </w:tcPr>
    </w:tblStylePr>
    <w:tblStylePr w:type="lastRow">
      <w:rPr>
        <w:b/>
        <w:color w:val="404040"/>
      </w:rPr>
      <w:tcPr>
        <w:tcBorders>
          <w:top w:val="single" w:color="FFD865" w:themeColor="accent4" w:themeTint="9A"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2cb" w:themeColor="accent4" w:themeTint="34" w:fill="fff2cb" w:themeFill="accent4" w:themeFillTint="34"/>
      </w:tcPr>
    </w:tblStylePr>
    <w:tblStylePr w:type="band1Horz">
      <w:rPr>
        <w:rFonts w:ascii="Arial" w:hAnsi="Arial"/>
        <w:color w:val="404040"/>
        <w:sz w:val="22"/>
      </w:rPr>
      <w:tcPr>
        <w:shd w:val="clear" w:color="fff2cb" w:themeColor="accent4" w:themeTint="34" w:fill="fff2cb" w:themeFill="accent4" w:themeFillTint="34"/>
      </w:tcPr>
    </w:tblStylePr>
  </w:style>
  <w:style w:type="table" w:styleId="GridTable2-Accent5" w:customStyle="1">
    <w:name w:val="Grid Table 2 - Accent 5"/>
    <w:basedOn w:val="a1"/>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one" w:color="000000" w:sz="4" w:space="0"/>
          <w:left w:val="none" w:color="000000" w:sz="4" w:space="0"/>
          <w:bottom w:val="single" w:color="4472C4" w:themeColor="accent5" w:sz="12" w:space="0"/>
          <w:right w:val="none" w:color="000000" w:sz="4" w:space="0"/>
        </w:tcBorders>
        <w:shd w:val="clear" w:color="ffffff" w:fill="auto"/>
      </w:tcPr>
    </w:tblStylePr>
    <w:tblStylePr w:type="lastRow">
      <w:rPr>
        <w:b/>
        <w:color w:val="404040"/>
      </w:rPr>
      <w:tcPr>
        <w:tcBorders>
          <w:top w:val="single" w:color="4472C4"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3" w:themeColor="accent5" w:themeTint="34" w:fill="d8e2f3" w:themeFill="accent5" w:themeFillTint="34"/>
      </w:tcPr>
    </w:tblStylePr>
    <w:tblStylePr w:type="band1Horz">
      <w:rPr>
        <w:rFonts w:ascii="Arial" w:hAnsi="Arial"/>
        <w:color w:val="404040"/>
        <w:sz w:val="22"/>
      </w:rPr>
      <w:tcPr>
        <w:shd w:val="clear" w:color="d8e2f3" w:themeColor="accent5" w:themeTint="34" w:fill="d8e2f3" w:themeFill="accent5" w:themeFillTint="34"/>
      </w:tcPr>
    </w:tblStylePr>
  </w:style>
  <w:style w:type="table" w:styleId="GridTable2-Accent6" w:customStyle="1">
    <w:name w:val="Grid Table 2 - Accent 6"/>
    <w:basedOn w:val="a1"/>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GridTable3-Accent1" w:customStyle="1">
    <w:name w:val="Grid Table 3 - Accent 1"/>
    <w:basedOn w:val="a1"/>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1Horz">
      <w:rPr>
        <w:rFonts w:ascii="Arial" w:hAnsi="Arial"/>
        <w:color w:val="404040"/>
        <w:sz w:val="22"/>
      </w:rPr>
      <w:tcPr>
        <w:shd w:val="clear" w:color="ddeaf6" w:themeColor="accent1" w:themeTint="34" w:fill="ddeaf6" w:themeFill="accent1" w:themeFillTint="34"/>
      </w:tcPr>
    </w:tblStylePr>
  </w:style>
  <w:style w:type="table" w:styleId="GridTable3-Accent2" w:customStyle="1">
    <w:name w:val="Grid Table 3 - Accent 2"/>
    <w:basedOn w:val="a1"/>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styleId="GridTable3-Accent3" w:customStyle="1">
    <w:name w:val="Grid Table 3 - Accent 3"/>
    <w:basedOn w:val="a1"/>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styleId="GridTable3-Accent4" w:customStyle="1">
    <w:name w:val="Grid Table 3 - Accent 4"/>
    <w:basedOn w:val="a1"/>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fff2cb" w:themeColor="accent4" w:themeTint="34" w:fill="fff2cb" w:themeFill="accent4" w:themeFillTint="34"/>
      </w:tcPr>
    </w:tblStylePr>
    <w:tblStylePr w:type="band1Horz">
      <w:rPr>
        <w:rFonts w:ascii="Arial" w:hAnsi="Arial"/>
        <w:color w:val="404040"/>
        <w:sz w:val="22"/>
      </w:rPr>
      <w:tcPr>
        <w:shd w:val="clear" w:color="fff2cb" w:themeColor="accent4" w:themeTint="34" w:fill="fff2cb" w:themeFill="accent4" w:themeFillTint="34"/>
      </w:tcPr>
    </w:tblStylePr>
  </w:style>
  <w:style w:type="table" w:styleId="GridTable3-Accent5" w:customStyle="1">
    <w:name w:val="Grid Table 3 - Accent 5"/>
    <w:basedOn w:val="a1"/>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d8e2f3" w:themeColor="accent5" w:themeTint="34" w:fill="d8e2f3" w:themeFill="accent5" w:themeFillTint="34"/>
      </w:tcPr>
    </w:tblStylePr>
    <w:tblStylePr w:type="band1Horz">
      <w:rPr>
        <w:rFonts w:ascii="Arial" w:hAnsi="Arial"/>
        <w:color w:val="404040"/>
        <w:sz w:val="22"/>
      </w:rPr>
      <w:tcPr>
        <w:shd w:val="clear" w:color="d8e2f3" w:themeColor="accent5" w:themeTint="34" w:fill="d8e2f3" w:themeFill="accent5" w:themeFillTint="34"/>
      </w:tcPr>
    </w:tblStylePr>
  </w:style>
  <w:style w:type="table" w:styleId="GridTable3-Accent6" w:customStyle="1">
    <w:name w:val="Grid Table 3 - Accent 6"/>
    <w:basedOn w:val="a1"/>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GridTable4-Accent1" w:customStyle="1">
    <w:name w:val="Grid Table 4 - Accent 1"/>
    <w:basedOn w:val="a1"/>
    <w:uiPriority w:val="5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shd w:val="clear" w:color="68a2d8" w:themeColor="accent1" w:themeTint="EA" w:fill="68a2d8" w:themeFill="accent1" w:themeFillTint="EA"/>
      </w:tcPr>
    </w:tblStylePr>
    <w:tblStylePr w:type="lastRow">
      <w:rPr>
        <w:b/>
        <w:color w:val="404040"/>
      </w:rPr>
      <w:tcPr>
        <w:tcBorders>
          <w:top w:val="single" w:color="68A2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1Horz">
      <w:rPr>
        <w:rFonts w:ascii="Arial" w:hAnsi="Arial"/>
        <w:color w:val="404040"/>
        <w:sz w:val="22"/>
      </w:rPr>
      <w:tcPr>
        <w:shd w:val="clear" w:color="deebf6" w:themeColor="accent1" w:themeTint="32" w:fill="deebf6" w:themeFill="accent1" w:themeFillTint="32"/>
      </w:tcPr>
    </w:tblStylePr>
  </w:style>
  <w:style w:type="table" w:styleId="GridTable4-Accent2" w:customStyle="1">
    <w:name w:val="Grid Table 4 - Accent 2"/>
    <w:basedOn w:val="a1"/>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shd w:val="clear" w:color="f4b184" w:themeColor="accent2" w:themeTint="97" w:fill="f4b184" w:themeFill="accent2" w:themeFillTint="97"/>
      </w:tcPr>
    </w:tblStylePr>
    <w:tblStylePr w:type="lastRow">
      <w:rPr>
        <w:b/>
        <w:color w:val="404040"/>
      </w:rPr>
      <w:tcPr>
        <w:tcBorders>
          <w:top w:val="single" w:color="F4B184"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styleId="GridTable4-Accent3" w:customStyle="1">
    <w:name w:val="Grid Table 4 - Accent 3"/>
    <w:basedOn w:val="a1"/>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styleId="GridTable4-Accent4" w:customStyle="1">
    <w:name w:val="Grid Table 4 - Accent 4"/>
    <w:basedOn w:val="a1"/>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firstRow">
      <w:rPr>
        <w:rFonts w:ascii="Arial" w:hAnsi="Arial"/>
        <w:b/>
        <w:color w:val="ffffff"/>
        <w:sz w:val="22"/>
      </w:rPr>
      <w:tcPr>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shd w:val="clear" w:color="ffd865" w:themeColor="accent4" w:themeTint="9A" w:fill="ffd865" w:themeFill="accent4" w:themeFillTint="9A"/>
      </w:tcPr>
    </w:tblStylePr>
    <w:tblStylePr w:type="lastRow">
      <w:rPr>
        <w:b/>
        <w:color w:val="404040"/>
      </w:rPr>
      <w:tcPr>
        <w:tcBorders>
          <w:top w:val="single" w:color="FFD865"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2cb" w:themeColor="accent4" w:themeTint="34" w:fill="fff2cb" w:themeFill="accent4" w:themeFillTint="34"/>
      </w:tcPr>
    </w:tblStylePr>
    <w:tblStylePr w:type="band1Horz">
      <w:rPr>
        <w:rFonts w:ascii="Arial" w:hAnsi="Arial"/>
        <w:color w:val="404040"/>
        <w:sz w:val="22"/>
      </w:rPr>
      <w:tcPr>
        <w:shd w:val="clear" w:color="fff2cb" w:themeColor="accent4" w:themeTint="34" w:fill="fff2cb" w:themeFill="accent4" w:themeFillTint="34"/>
      </w:tcPr>
    </w:tblStylePr>
  </w:style>
  <w:style w:type="table" w:styleId="GridTable4-Accent5" w:customStyle="1">
    <w:name w:val="Grid Table 4 - Accent 5"/>
    <w:basedOn w:val="a1"/>
    <w:uiPriority w:val="5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3" w:themeColor="accent5" w:themeTint="34" w:fill="d8e2f3" w:themeFill="accent5" w:themeFillTint="34"/>
      </w:tcPr>
    </w:tblStylePr>
    <w:tblStylePr w:type="band1Horz">
      <w:rPr>
        <w:rFonts w:ascii="Arial" w:hAnsi="Arial"/>
        <w:color w:val="404040"/>
        <w:sz w:val="22"/>
      </w:rPr>
      <w:tcPr>
        <w:shd w:val="clear" w:color="d8e2f3" w:themeColor="accent5" w:themeTint="34" w:fill="d8e2f3" w:themeFill="accent5" w:themeFillTint="34"/>
      </w:tcPr>
    </w:tblStylePr>
  </w:style>
  <w:style w:type="table" w:styleId="GridTable4-Accent6" w:customStyle="1">
    <w:name w:val="Grid Table 4 - Accent 6"/>
    <w:basedOn w:val="a1"/>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a8a8a" w:themeColor="text1" w:themeTint="75" w:fill="8a8a8a" w:themeFill="text1" w:themeFillTint="75"/>
      </w:tcPr>
    </w:tblStylePr>
    <w:tblStylePr w:type="band1Horz">
      <w:tcPr>
        <w:shd w:val="clear" w:color="8a8a8a" w:themeColor="text1" w:themeTint="75" w:fill="8a8a8a" w:themeFill="text1" w:themeFillTint="75"/>
      </w:tcPr>
    </w:tblStylePr>
  </w:style>
  <w:style w:type="table" w:styleId="GridTable5Dark-Accent1" w:customStyle="1">
    <w:name w:val="Grid Table 5 Dark- Accent 1"/>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0eb" w:themeColor="accent1" w:themeTint="75" w:fill="b3d0eb" w:themeFill="accent1" w:themeFillTint="75"/>
      </w:tcPr>
    </w:tblStylePr>
    <w:tblStylePr w:type="band1Horz">
      <w:tcPr>
        <w:shd w:val="clear" w:color="b3d0eb" w:themeColor="accent1" w:themeTint="75" w:fill="b3d0eb" w:themeFill="accent1" w:themeFillTint="75"/>
      </w:tcPr>
    </w:tblStylePr>
  </w:style>
  <w:style w:type="table" w:styleId="GridTable5Dark-Accent2" w:customStyle="1">
    <w:name w:val="Grid Table 5 Dark - Accent 2"/>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1Horz">
      <w:tcPr>
        <w:shd w:val="clear" w:color="f6c3a0" w:themeColor="accent2" w:themeTint="75" w:fill="f6c3a0" w:themeFill="accent2" w:themeFillTint="75"/>
      </w:tcPr>
    </w:tblStylePr>
  </w:style>
  <w:style w:type="table" w:styleId="GridTable5Dark-Accent3" w:customStyle="1">
    <w:name w:val="Grid Table 5 Dark - Accent 3"/>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1Horz">
      <w:tcPr>
        <w:shd w:val="clear" w:color="d5d5d5" w:themeColor="accent3" w:themeTint="75" w:fill="d5d5d5" w:themeFill="accent3" w:themeFillTint="75"/>
      </w:tcPr>
    </w:tblStylePr>
  </w:style>
  <w:style w:type="table" w:styleId="GridTable5Dark-Accent4" w:customStyle="1">
    <w:name w:val="Grid Table 5 Dark- Accent 4"/>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fe28a" w:themeColor="accent4" w:themeTint="75" w:fill="ffe28a" w:themeFill="accent4" w:themeFillTint="75"/>
      </w:tcPr>
    </w:tblStylePr>
    <w:tblStylePr w:type="band1Horz">
      <w:tcPr>
        <w:shd w:val="clear" w:color="ffe28a" w:themeColor="accent4" w:themeTint="75" w:fill="ffe28a" w:themeFill="accent4" w:themeFillTint="75"/>
      </w:tcPr>
    </w:tblStylePr>
  </w:style>
  <w:style w:type="table" w:styleId="GridTable5Dark-Accent5" w:customStyle="1">
    <w:name w:val="Grid Table 5 Dark - Accent 5"/>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4" w:themeColor="accent5" w:themeTint="75" w:fill="a9bee4" w:themeFill="accent5" w:themeFillTint="75"/>
      </w:tcPr>
    </w:tblStylePr>
    <w:tblStylePr w:type="band1Horz">
      <w:tcPr>
        <w:shd w:val="clear" w:color="a9bee4" w:themeColor="accent5" w:themeTint="75" w:fill="a9bee4" w:themeFill="accent5" w:themeFillTint="75"/>
      </w:tcPr>
    </w:tblStylePr>
  </w:style>
  <w:style w:type="table" w:styleId="GridTable5Dark-Accent6" w:customStyle="1">
    <w:name w:val="Grid Table 5 Dark - Accent 6"/>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1Horz">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cPr>
        <w:tcBorders>
          <w:bottom w:val="single" w:color="7F7F7F" w:themeColor="text1" w:themeTint="80" w:sz="12" w:space="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cPr>
        <w:shd w:val="clear" w:color="cbcbcb" w:themeColor="text1" w:themeTint="34" w:fill="cbcbcb" w:themeFill="text1" w:themeFillTint="34"/>
      </w:tcPr>
    </w:tblStyle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customStyle="1">
    <w:name w:val="Grid Table 6 Colorful - Accent 1"/>
    <w:basedOn w:val="a1"/>
    <w:uiPriority w:val="99"/>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firstRow">
      <w:rPr>
        <w:b/>
        <w:color w:val="acccea" w:themeColor="accent1" w:themeTint="80" w:themeShade="95"/>
      </w:rPr>
      <w:tcPr>
        <w:tcBorders>
          <w:bottom w:val="single" w:color="ACCCEA" w:themeColor="accent1" w:themeTint="80" w:sz="12" w:space="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cPr>
        <w:shd w:val="clear" w:color="ddeaf6" w:themeColor="accent1" w:themeTint="34" w:fill="ddeaf6" w:themeFill="accent1" w:themeFillTint="34"/>
      </w:tcPr>
    </w:tblStyle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customStyle="1">
    <w:name w:val="Grid Table 6 Colorful - Accent 2"/>
    <w:basedOn w:val="a1"/>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f4b184" w:themeColor="accent2" w:themeTint="97" w:themeShade="95"/>
      </w:rPr>
      <w:tcPr>
        <w:tcBorders>
          <w:bottom w:val="single" w:color="F4B184" w:themeColor="accent2" w:themeTint="97" w:sz="12" w:space="0"/>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cPr>
        <w:shd w:val="clear" w:color="fbe5d6" w:themeColor="accent2" w:themeTint="32" w:fill="fbe5d6" w:themeFill="accent2" w:themeFillTint="32"/>
      </w:tcPr>
    </w:tblStyle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customStyle="1">
    <w:name w:val="Grid Table 6 Colorful - Accent 3"/>
    <w:basedOn w:val="a1"/>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E" w:themeShade="95"/>
      </w:rPr>
      <w:tcPr>
        <w:tcBorders>
          <w:bottom w:val="single" w:color="A5A5A5" w:themeColor="accent3" w:themeTint="FE" w:sz="12" w:space="0"/>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cPr>
        <w:shd w:val="clear" w:color="ececec" w:themeColor="accent3" w:themeTint="34" w:fill="ececec" w:themeFill="accent3" w:themeFillTint="34"/>
      </w:tcPr>
    </w:tblStyle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customStyle="1">
    <w:name w:val="Grid Table 6 Colorful - Accent 4"/>
    <w:basedOn w:val="a1"/>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ffd865" w:themeColor="accent4" w:themeTint="9A" w:themeShade="95"/>
      </w:rPr>
      <w:tcPr>
        <w:tcBorders>
          <w:bottom w:val="single" w:color="FFD865" w:themeColor="accent4" w:themeTint="9A" w:sz="12" w:space="0"/>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cPr>
        <w:shd w:val="clear" w:color="fff2cb" w:themeColor="accent4" w:themeTint="34" w:fill="fff2cb" w:themeFill="accent4" w:themeFillTint="34"/>
      </w:tcPr>
    </w:tblStyle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customStyle="1">
    <w:name w:val="Grid Table 6 Colorful - Accent 5"/>
    <w:basedOn w:val="a1"/>
    <w:uiPriority w:val="9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5" w:themeColor="accent5" w:themeShade="95"/>
      </w:rPr>
      <w:tcPr>
        <w:tcBorders>
          <w:bottom w:val="single" w:color="4472C4" w:themeColor="accent5" w:sz="12" w:space="0"/>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cPr>
        <w:shd w:val="clear" w:color="d8e2f3" w:themeColor="accent5" w:themeTint="34" w:fill="d8e2f3" w:themeFill="accent5" w:themeFillTint="34"/>
      </w:tcPr>
    </w:tblStyle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customStyle="1">
    <w:name w:val="Grid Table 6 Colorful - Accent 6"/>
    <w:basedOn w:val="a1"/>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5" w:themeColor="accent5" w:themeShade="95"/>
      </w:rPr>
      <w:tcPr>
        <w:tcBorders>
          <w:bottom w:val="single" w:color="70AD47" w:themeColor="accent6" w:sz="12" w:space="0"/>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cPr>
        <w:shd w:val="clear" w:color="e1efd8" w:themeColor="accent6" w:themeTint="34" w:fill="e1efd8" w:themeFill="accent6" w:themeFillTint="34"/>
      </w:tcPr>
    </w:tblStylePr>
    <w:tblStylePr w:type="band1Horz">
      <w:rPr>
        <w:rFonts w:ascii="Arial" w:hAnsi="Arial"/>
        <w:color w:val="254175" w:themeColor="accent5" w:themeShade="95"/>
        <w:sz w:val="22"/>
      </w:r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rFonts w:ascii="Arial" w:hAnsi="Arial"/>
        <w:b/>
        <w:color w:val="7f7f7f" w:themeColor="text1" w:themeTint="80" w:themeShade="95"/>
        <w:sz w:val="22"/>
      </w:rPr>
      <w:tcPr>
        <w:tcBorders>
          <w:top w:val="none" w:color="000000" w:sz="0" w:space="0"/>
          <w:left w:val="none" w:color="000000" w:sz="0" w:space="0"/>
          <w:bottom w:val="single" w:color="7F7F7F" w:themeColor="text1" w:themeTint="80" w:sz="4" w:space="0"/>
          <w:right w:val="none" w:color="000000" w:sz="0" w:space="0"/>
        </w:tcBorders>
        <w:shd w:val="clear" w:color="ffffff" w:themeColor="light1" w:fill="ffffff" w:themeFill="light1"/>
      </w:tcPr>
    </w:tblStylePr>
    <w:tblStylePr w:type="lastRow">
      <w:rPr>
        <w:rFonts w:ascii="Arial" w:hAnsi="Arial"/>
        <w:b/>
        <w:color w:val="7f7f7f" w:themeColor="text1" w:themeTint="80" w:themeShade="95"/>
        <w:sz w:val="22"/>
      </w:rPr>
      <w:tcPr>
        <w:tcBorders>
          <w:top w:val="single" w:color="7F7F7F" w:themeColor="text1" w:themeTint="80" w:sz="4" w:space="0"/>
          <w:left w:val="none" w:color="000000" w:sz="0" w:space="0"/>
          <w:bottom w:val="none" w:color="000000" w:sz="0" w:space="0"/>
          <w:right w:val="none" w:color="000000" w:sz="0" w:space="0"/>
        </w:tcBorders>
        <w:shd w:val="clear" w:color="ffffff" w:themeColor="light1" w:fill="ffffff" w:themeFill="light1"/>
      </w:tcPr>
    </w:tblStylePr>
    <w:tblStylePr w:type="firstCol">
      <w:rPr>
        <w:rFonts w:ascii="Arial" w:hAnsi="Arial"/>
        <w:i/>
        <w:color w:val="7f7f7f" w:themeColor="text1" w:themeTint="80" w:themeShade="95"/>
        <w:sz w:val="22"/>
      </w:rPr>
      <w:pPr>
        <w:jc w:val="right"/>
      </w:pPr>
      <w:tcPr>
        <w:tcBorders>
          <w:top w:val="none" w:color="000000" w:sz="0" w:space="0"/>
          <w:left w:val="none" w:color="000000" w:sz="0" w:space="0"/>
          <w:bottom w:val="none" w:color="000000" w:sz="0" w:space="0"/>
          <w:right w:val="single" w:color="7F7F7F" w:themeColor="text1" w:themeTint="80" w:sz="4" w:space="0"/>
        </w:tcBorders>
        <w:shd w:val="clear" w:color="ffffff" w:fill="auto"/>
      </w:tcPr>
    </w:tblStylePr>
    <w:tblStylePr w:type="lastCol">
      <w:rPr>
        <w:rFonts w:ascii="Arial" w:hAnsi="Arial"/>
        <w:i/>
        <w:color w:val="7f7f7f" w:themeColor="text1" w:themeTint="80" w:themeShade="95"/>
        <w:sz w:val="22"/>
      </w:rPr>
      <w:tcPr>
        <w:tcBorders>
          <w:top w:val="none" w:color="000000" w:sz="0" w:space="0"/>
          <w:left w:val="single" w:color="7F7F7F" w:themeColor="text1" w:themeTint="80" w:sz="4" w:space="0"/>
          <w:bottom w:val="none" w:color="000000" w:sz="0" w:space="0"/>
          <w:right w:val="none" w:color="000000" w:sz="0" w:space="0"/>
        </w:tcBorders>
        <w:shd w:val="clear" w:color="ffffff" w:fill="auto"/>
      </w:tcPr>
    </w:tblStylePr>
    <w:tblStylePr w:type="band1Vert">
      <w:tcPr>
        <w:shd w:val="clear" w:color="f2f2f2" w:themeColor="text1" w:themeTint="0D" w:fill="f2f2f2" w:themeFill="text1" w:themeFillTint="0D"/>
      </w:tcPr>
    </w:tblStyle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customStyle="1">
    <w:name w:val="Grid Table 7 Colorful - Accent 1"/>
    <w:basedOn w:val="a1"/>
    <w:uiPriority w:val="99"/>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firstRow">
      <w:rPr>
        <w:rFonts w:ascii="Arial" w:hAnsi="Arial"/>
        <w:b/>
        <w:color w:val="acccea" w:themeColor="accent1" w:themeTint="80" w:themeShade="95"/>
        <w:sz w:val="22"/>
      </w:rPr>
      <w:tcPr>
        <w:tcBorders>
          <w:top w:val="none" w:color="000000" w:sz="0" w:space="0"/>
          <w:left w:val="none" w:color="000000" w:sz="0" w:space="0"/>
          <w:bottom w:val="single" w:color="ACCCEA" w:themeColor="accent1" w:themeTint="80" w:sz="4" w:space="0"/>
          <w:right w:val="none" w:color="000000" w:sz="0" w:space="0"/>
        </w:tcBorders>
        <w:shd w:val="clear" w:color="ffffff" w:themeColor="light1" w:fill="ffffff" w:themeFill="light1"/>
      </w:tcPr>
    </w:tblStylePr>
    <w:tblStylePr w:type="lastRow">
      <w:rPr>
        <w:rFonts w:ascii="Arial" w:hAnsi="Arial"/>
        <w:b/>
        <w:color w:val="acccea" w:themeColor="accent1" w:themeTint="80" w:themeShade="95"/>
        <w:sz w:val="22"/>
      </w:rPr>
      <w:tcPr>
        <w:tcBorders>
          <w:top w:val="single" w:color="ACCCEA" w:themeColor="accent1" w:themeTint="80" w:sz="4" w:space="0"/>
          <w:left w:val="none" w:color="000000" w:sz="0" w:space="0"/>
          <w:bottom w:val="none" w:color="000000" w:sz="0" w:space="0"/>
          <w:right w:val="none" w:color="000000" w:sz="0" w:space="0"/>
        </w:tcBorders>
        <w:shd w:val="clear" w:color="ffffff" w:themeColor="light1" w:fill="ffffff" w:themeFill="light1"/>
      </w:tcPr>
    </w:tblStylePr>
    <w:tblStylePr w:type="firstCol">
      <w:rPr>
        <w:rFonts w:ascii="Arial" w:hAnsi="Arial"/>
        <w:i/>
        <w:color w:val="acccea" w:themeColor="accent1" w:themeTint="80" w:themeShade="95"/>
        <w:sz w:val="22"/>
      </w:rPr>
      <w:pPr>
        <w:jc w:val="right"/>
      </w:pPr>
      <w:tcPr>
        <w:tcBorders>
          <w:top w:val="none" w:color="000000" w:sz="0" w:space="0"/>
          <w:left w:val="none" w:color="000000" w:sz="0" w:space="0"/>
          <w:bottom w:val="none" w:color="000000" w:sz="0" w:space="0"/>
          <w:right w:val="single" w:color="ACCCEA" w:themeColor="accent1" w:themeTint="80" w:sz="4" w:space="0"/>
        </w:tcBorders>
        <w:shd w:val="clear" w:color="ffffff" w:fill="auto"/>
      </w:tcPr>
    </w:tblStylePr>
    <w:tblStylePr w:type="lastCol">
      <w:rPr>
        <w:rFonts w:ascii="Arial" w:hAnsi="Arial"/>
        <w:i/>
        <w:color w:val="acccea" w:themeColor="accent1" w:themeTint="80" w:themeShade="95"/>
        <w:sz w:val="22"/>
      </w:rPr>
      <w:tcPr>
        <w:tcBorders>
          <w:top w:val="none" w:color="000000" w:sz="0" w:space="0"/>
          <w:left w:val="single" w:color="ACCCEA" w:themeColor="accent1" w:themeTint="80" w:sz="4" w:space="0"/>
          <w:bottom w:val="none" w:color="000000" w:sz="0" w:space="0"/>
          <w:right w:val="none" w:color="000000" w:sz="0" w:space="0"/>
        </w:tcBorders>
        <w:shd w:val="clear" w:color="ffffff" w:fill="auto"/>
      </w:tcPr>
    </w:tblStylePr>
    <w:tblStylePr w:type="band1Vert">
      <w:tcPr>
        <w:shd w:val="clear" w:color="ddeaf6" w:themeColor="accent1" w:themeTint="34" w:fill="ddeaf6" w:themeFill="accent1" w:themeFillTint="34"/>
      </w:tcPr>
    </w:tblStyle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customStyle="1">
    <w:name w:val="Grid Table 7 Colorful - Accent 2"/>
    <w:basedOn w:val="a1"/>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rFonts w:ascii="Arial" w:hAnsi="Arial"/>
        <w:b/>
        <w:color w:val="f4b184" w:themeColor="accent2" w:themeTint="97" w:themeShade="95"/>
        <w:sz w:val="22"/>
      </w:rPr>
      <w:tcPr>
        <w:tcBorders>
          <w:top w:val="none" w:color="000000" w:sz="0" w:space="0"/>
          <w:left w:val="none" w:color="000000" w:sz="0" w:space="0"/>
          <w:bottom w:val="single" w:color="F4B184" w:themeColor="accent2" w:themeTint="97" w:sz="4" w:space="0"/>
          <w:right w:val="none" w:color="000000" w:sz="0" w:space="0"/>
        </w:tcBorders>
        <w:shd w:val="clear" w:color="ffffff" w:themeColor="light1" w:fill="ffffff" w:themeFill="light1"/>
      </w:tcPr>
    </w:tblStylePr>
    <w:tblStylePr w:type="lastRow">
      <w:rPr>
        <w:rFonts w:ascii="Arial" w:hAnsi="Arial"/>
        <w:b/>
        <w:color w:val="f4b184" w:themeColor="accent2" w:themeTint="97" w:themeShade="95"/>
        <w:sz w:val="22"/>
      </w:rPr>
      <w:tcPr>
        <w:tcBorders>
          <w:top w:val="single" w:color="F4B184" w:themeColor="accent2" w:themeTint="97" w:sz="4" w:space="0"/>
          <w:left w:val="none" w:color="000000" w:sz="0" w:space="0"/>
          <w:bottom w:val="none" w:color="000000" w:sz="0" w:space="0"/>
          <w:right w:val="none" w:color="000000" w:sz="0" w:space="0"/>
        </w:tcBorders>
        <w:shd w:val="clear" w:color="ffffff" w:themeColor="light1" w:fill="ffffff" w:themeFill="light1"/>
      </w:tcPr>
    </w:tblStylePr>
    <w:tblStylePr w:type="firstCol">
      <w:rPr>
        <w:rFonts w:ascii="Arial" w:hAnsi="Arial"/>
        <w:i/>
        <w:color w:val="f4b184" w:themeColor="accent2" w:themeTint="97" w:themeShade="95"/>
        <w:sz w:val="22"/>
      </w:rPr>
      <w:pPr>
        <w:jc w:val="right"/>
      </w:pPr>
      <w:tcPr>
        <w:tcBorders>
          <w:top w:val="none" w:color="000000" w:sz="0" w:space="0"/>
          <w:left w:val="none" w:color="000000" w:sz="0" w:space="0"/>
          <w:bottom w:val="none" w:color="000000" w:sz="0" w:space="0"/>
          <w:right w:val="single" w:color="F4B184" w:themeColor="accent2" w:themeTint="97" w:sz="4" w:space="0"/>
        </w:tcBorders>
        <w:shd w:val="clear" w:color="ffffff" w:fill="auto"/>
      </w:tcPr>
    </w:tblStylePr>
    <w:tblStylePr w:type="lastCol">
      <w:rPr>
        <w:rFonts w:ascii="Arial" w:hAnsi="Arial"/>
        <w:i/>
        <w:color w:val="f4b184" w:themeColor="accent2" w:themeTint="97" w:themeShade="95"/>
        <w:sz w:val="22"/>
      </w:rPr>
      <w:tcPr>
        <w:tcBorders>
          <w:top w:val="none" w:color="000000" w:sz="0" w:space="0"/>
          <w:left w:val="single" w:color="F4B184" w:themeColor="accent2" w:themeTint="97" w:sz="4" w:space="0"/>
          <w:bottom w:val="none" w:color="000000" w:sz="0" w:space="0"/>
          <w:right w:val="none" w:color="000000" w:sz="0" w:space="0"/>
        </w:tcBorders>
        <w:shd w:val="clear" w:color="ffffff" w:fill="auto"/>
      </w:tcPr>
    </w:tblStylePr>
    <w:tblStylePr w:type="band1Vert">
      <w:tcPr>
        <w:shd w:val="clear" w:color="fbe5d6" w:themeColor="accent2" w:themeTint="32" w:fill="fbe5d6" w:themeFill="accent2" w:themeFillTint="32"/>
      </w:tcPr>
    </w:tblStyle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customStyle="1">
    <w:name w:val="Grid Table 7 Colorful - Accent 3"/>
    <w:basedOn w:val="a1"/>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E" w:themeShade="95"/>
        <w:sz w:val="22"/>
      </w:rPr>
      <w:tcPr>
        <w:tcBorders>
          <w:top w:val="none" w:color="000000" w:sz="0" w:space="0"/>
          <w:left w:val="none" w:color="000000" w:sz="0" w:space="0"/>
          <w:bottom w:val="single" w:color="A5A5A5" w:themeColor="accent3" w:themeTint="FE" w:sz="4" w:space="0"/>
          <w:right w:val="none" w:color="000000" w:sz="0" w:space="0"/>
        </w:tcBorders>
        <w:shd w:val="clear" w:color="ffffff" w:themeColor="light1" w:fill="ffffff" w:themeFill="light1"/>
      </w:tcPr>
    </w:tblStylePr>
    <w:tblStylePr w:type="lastRow">
      <w:rPr>
        <w:rFonts w:ascii="Arial" w:hAnsi="Arial"/>
        <w:b/>
        <w:color w:val="a5a5a5" w:themeColor="accent3" w:themeTint="FE" w:themeShade="95"/>
        <w:sz w:val="22"/>
      </w:rPr>
      <w:tcPr>
        <w:tcBorders>
          <w:top w:val="single" w:color="A5A5A5" w:themeColor="accent3" w:themeTint="FE" w:sz="4" w:space="0"/>
          <w:left w:val="none" w:color="000000" w:sz="0" w:space="0"/>
          <w:bottom w:val="none" w:color="000000" w:sz="0" w:space="0"/>
          <w:right w:val="none" w:color="000000" w:sz="0" w:space="0"/>
        </w:tcBorders>
        <w:shd w:val="clear" w:color="ffffff" w:themeColor="light1" w:fill="ffffff" w:themeFill="light1"/>
      </w:tcPr>
    </w:tblStylePr>
    <w:tblStylePr w:type="firstCol">
      <w:rPr>
        <w:rFonts w:ascii="Arial" w:hAnsi="Arial"/>
        <w:i/>
        <w:color w:val="a5a5a5" w:themeColor="accent3" w:themeTint="FE" w:themeShade="95"/>
        <w:sz w:val="22"/>
      </w:rPr>
      <w:pPr>
        <w:jc w:val="right"/>
      </w:pPr>
      <w:tcPr>
        <w:tcBorders>
          <w:top w:val="none" w:color="000000" w:sz="0" w:space="0"/>
          <w:left w:val="none" w:color="000000" w:sz="0" w:space="0"/>
          <w:bottom w:val="none" w:color="000000" w:sz="0" w:space="0"/>
          <w:right w:val="single" w:color="A5A5A5" w:themeColor="accent3" w:themeTint="FE" w:sz="4" w:space="0"/>
        </w:tcBorders>
        <w:shd w:val="clear" w:color="ffffff" w:fill="auto"/>
      </w:tcPr>
    </w:tblStylePr>
    <w:tblStylePr w:type="lastCol">
      <w:rPr>
        <w:rFonts w:ascii="Arial" w:hAnsi="Arial"/>
        <w:i/>
        <w:color w:val="a5a5a5" w:themeColor="accent3" w:themeTint="FE" w:themeShade="95"/>
        <w:sz w:val="22"/>
      </w:rPr>
      <w:tcPr>
        <w:tcBorders>
          <w:top w:val="none" w:color="000000" w:sz="0" w:space="0"/>
          <w:left w:val="single" w:color="A5A5A5" w:themeColor="accent3" w:themeTint="FE" w:sz="4" w:space="0"/>
          <w:bottom w:val="none" w:color="000000" w:sz="0" w:space="0"/>
          <w:right w:val="none" w:color="000000" w:sz="0" w:space="0"/>
        </w:tcBorders>
        <w:shd w:val="clear" w:color="ffffff" w:fill="auto"/>
      </w:tcPr>
    </w:tblStylePr>
    <w:tblStylePr w:type="band1Vert">
      <w:tcPr>
        <w:shd w:val="clear" w:color="ececec" w:themeColor="accent3" w:themeTint="34" w:fill="ececec" w:themeFill="accent3" w:themeFillTint="34"/>
      </w:tcPr>
    </w:tblStyle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customStyle="1">
    <w:name w:val="Grid Table 7 Colorful - Accent 4"/>
    <w:basedOn w:val="a1"/>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rFonts w:ascii="Arial" w:hAnsi="Arial"/>
        <w:b/>
        <w:color w:val="ffd865" w:themeColor="accent4" w:themeTint="9A" w:themeShade="95"/>
        <w:sz w:val="22"/>
      </w:rPr>
      <w:tcPr>
        <w:tcBorders>
          <w:top w:val="none" w:color="000000" w:sz="0" w:space="0"/>
          <w:left w:val="none" w:color="000000" w:sz="0" w:space="0"/>
          <w:bottom w:val="single" w:color="FFD865" w:themeColor="accent4" w:themeTint="9A" w:sz="4" w:space="0"/>
          <w:right w:val="none" w:color="000000" w:sz="0" w:space="0"/>
        </w:tcBorders>
        <w:shd w:val="clear" w:color="ffffff" w:themeColor="light1" w:fill="ffffff" w:themeFill="light1"/>
      </w:tcPr>
    </w:tblStylePr>
    <w:tblStylePr w:type="lastRow">
      <w:rPr>
        <w:rFonts w:ascii="Arial" w:hAnsi="Arial"/>
        <w:b/>
        <w:color w:val="ffd865" w:themeColor="accent4" w:themeTint="9A" w:themeShade="95"/>
        <w:sz w:val="22"/>
      </w:rPr>
      <w:tcPr>
        <w:tcBorders>
          <w:top w:val="single" w:color="FFD865" w:themeColor="accent4" w:themeTint="9A" w:sz="4" w:space="0"/>
          <w:left w:val="none" w:color="000000" w:sz="0" w:space="0"/>
          <w:bottom w:val="none" w:color="000000" w:sz="0" w:space="0"/>
          <w:right w:val="none" w:color="000000" w:sz="0" w:space="0"/>
        </w:tcBorders>
        <w:shd w:val="clear" w:color="ffffff" w:themeColor="light1" w:fill="ffffff" w:themeFill="light1"/>
      </w:tcPr>
    </w:tblStylePr>
    <w:tblStylePr w:type="firstCol">
      <w:rPr>
        <w:rFonts w:ascii="Arial" w:hAnsi="Arial"/>
        <w:i/>
        <w:color w:val="ffd865" w:themeColor="accent4" w:themeTint="9A" w:themeShade="95"/>
        <w:sz w:val="22"/>
      </w:rPr>
      <w:pPr>
        <w:jc w:val="right"/>
      </w:pPr>
      <w:tcPr>
        <w:tcBorders>
          <w:top w:val="none" w:color="000000" w:sz="0" w:space="0"/>
          <w:left w:val="none" w:color="000000" w:sz="0" w:space="0"/>
          <w:bottom w:val="none" w:color="000000" w:sz="0" w:space="0"/>
          <w:right w:val="single" w:color="FFD865" w:themeColor="accent4" w:themeTint="9A" w:sz="4" w:space="0"/>
        </w:tcBorders>
        <w:shd w:val="clear" w:color="ffffff" w:fill="auto"/>
      </w:tcPr>
    </w:tblStylePr>
    <w:tblStylePr w:type="lastCol">
      <w:rPr>
        <w:rFonts w:ascii="Arial" w:hAnsi="Arial"/>
        <w:i/>
        <w:color w:val="ffd865" w:themeColor="accent4" w:themeTint="9A" w:themeShade="95"/>
        <w:sz w:val="22"/>
      </w:rPr>
      <w:tcPr>
        <w:tcBorders>
          <w:top w:val="none" w:color="000000" w:sz="0" w:space="0"/>
          <w:left w:val="single" w:color="FFD865" w:themeColor="accent4" w:themeTint="9A" w:sz="4" w:space="0"/>
          <w:bottom w:val="none" w:color="000000" w:sz="0" w:space="0"/>
          <w:right w:val="none" w:color="000000" w:sz="0" w:space="0"/>
        </w:tcBorders>
        <w:shd w:val="clear" w:color="ffffff" w:fill="auto"/>
      </w:tcPr>
    </w:tblStylePr>
    <w:tblStylePr w:type="band1Vert">
      <w:tcPr>
        <w:shd w:val="clear" w:color="fff2cb" w:themeColor="accent4" w:themeTint="34" w:fill="fff2cb" w:themeFill="accent4" w:themeFillTint="34"/>
      </w:tcPr>
    </w:tblStyle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customStyle="1">
    <w:name w:val="Grid Table 7 Colorful - Accent 5"/>
    <w:basedOn w:val="a1"/>
    <w:uiPriority w:val="99"/>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5" w:themeColor="accent5" w:themeShade="95"/>
        <w:sz w:val="22"/>
      </w:rPr>
      <w:tcPr>
        <w:tcBorders>
          <w:top w:val="none" w:color="000000" w:sz="0" w:space="0"/>
          <w:left w:val="none" w:color="000000" w:sz="0" w:space="0"/>
          <w:bottom w:val="single" w:color="95AFDD" w:themeColor="accent5" w:themeTint="90" w:sz="4" w:space="0"/>
          <w:right w:val="none" w:color="000000" w:sz="0" w:space="0"/>
        </w:tcBorders>
        <w:shd w:val="clear" w:color="ffffff" w:themeColor="light1" w:fill="ffffff" w:themeFill="light1"/>
      </w:tcPr>
    </w:tblStylePr>
    <w:tblStylePr w:type="lastRow">
      <w:rPr>
        <w:rFonts w:ascii="Arial" w:hAnsi="Arial"/>
        <w:b/>
        <w:color w:val="254175" w:themeColor="accent5" w:themeShade="95"/>
        <w:sz w:val="22"/>
      </w:rPr>
      <w:tcPr>
        <w:tcBorders>
          <w:top w:val="single" w:color="95AFDD" w:themeColor="accent5" w:themeTint="90" w:sz="4" w:space="0"/>
          <w:left w:val="none" w:color="000000" w:sz="0" w:space="0"/>
          <w:bottom w:val="none" w:color="000000" w:sz="0" w:space="0"/>
          <w:right w:val="none" w:color="000000" w:sz="0" w:space="0"/>
        </w:tcBorders>
        <w:shd w:val="clear" w:color="ffffff" w:themeColor="light1" w:fill="ffffff" w:themeFill="light1"/>
      </w:tcPr>
    </w:tblStylePr>
    <w:tblStylePr w:type="firstCol">
      <w:rPr>
        <w:rFonts w:ascii="Arial" w:hAnsi="Arial"/>
        <w:i/>
        <w:color w:val="254175" w:themeColor="accent5" w:themeShade="95"/>
        <w:sz w:val="22"/>
      </w:rPr>
      <w:pPr>
        <w:jc w:val="right"/>
      </w:pPr>
      <w:tcPr>
        <w:tcBorders>
          <w:top w:val="none" w:color="000000" w:sz="0" w:space="0"/>
          <w:left w:val="none" w:color="000000" w:sz="0" w:space="0"/>
          <w:bottom w:val="none" w:color="000000" w:sz="0" w:space="0"/>
          <w:right w:val="single" w:color="95AFDD" w:themeColor="accent5" w:themeTint="90" w:sz="4" w:space="0"/>
        </w:tcBorders>
        <w:shd w:val="clear" w:color="ffffff" w:fill="auto"/>
      </w:tcPr>
    </w:tblStylePr>
    <w:tblStylePr w:type="lastCol">
      <w:rPr>
        <w:rFonts w:ascii="Arial" w:hAnsi="Arial"/>
        <w:i/>
        <w:color w:val="254175" w:themeColor="accent5" w:themeShade="95"/>
        <w:sz w:val="22"/>
      </w:rPr>
      <w:tcPr>
        <w:tcBorders>
          <w:top w:val="none" w:color="000000" w:sz="0" w:space="0"/>
          <w:left w:val="single" w:color="95AFDD" w:themeColor="accent5" w:themeTint="90" w:sz="4" w:space="0"/>
          <w:bottom w:val="none" w:color="000000" w:sz="0" w:space="0"/>
          <w:right w:val="none" w:color="000000" w:sz="0" w:space="0"/>
        </w:tcBorders>
        <w:shd w:val="clear" w:color="ffffff" w:fill="auto"/>
      </w:tcPr>
    </w:tblStylePr>
    <w:tblStylePr w:type="band1Vert">
      <w:tcPr>
        <w:shd w:val="clear" w:color="d8e2f3" w:themeColor="accent5" w:themeTint="34" w:fill="d8e2f3" w:themeFill="accent5" w:themeFillTint="34"/>
      </w:tcPr>
    </w:tblStyle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customStyle="1">
    <w:name w:val="Grid Table 7 Colorful - Accent 6"/>
    <w:basedOn w:val="a1"/>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5"/>
        <w:sz w:val="22"/>
      </w:rPr>
      <w:tcPr>
        <w:tcBorders>
          <w:top w:val="none" w:color="000000" w:sz="0" w:space="0"/>
          <w:left w:val="none" w:color="000000" w:sz="0" w:space="0"/>
          <w:bottom w:val="single" w:color="ADD394" w:themeColor="accent6" w:themeTint="90" w:sz="4" w:space="0"/>
          <w:right w:val="none" w:color="000000" w:sz="0" w:space="0"/>
        </w:tcBorders>
        <w:shd w:val="clear" w:color="ffffff" w:themeColor="light1" w:fill="ffffff" w:themeFill="light1"/>
      </w:tcPr>
    </w:tblStylePr>
    <w:tblStylePr w:type="lastRow">
      <w:rPr>
        <w:rFonts w:ascii="Arial" w:hAnsi="Arial"/>
        <w:b/>
        <w:color w:val="416429" w:themeColor="accent6" w:themeShade="95"/>
        <w:sz w:val="22"/>
      </w:rPr>
      <w:tcPr>
        <w:tcBorders>
          <w:top w:val="single" w:color="ADD394" w:themeColor="accent6" w:themeTint="90" w:sz="4" w:space="0"/>
          <w:left w:val="none" w:color="000000" w:sz="0" w:space="0"/>
          <w:bottom w:val="none" w:color="000000" w:sz="0" w:space="0"/>
          <w:right w:val="none" w:color="000000" w:sz="0" w:space="0"/>
        </w:tcBorders>
        <w:shd w:val="clear" w:color="ffffff" w:themeColor="light1" w:fill="ffffff" w:themeFill="light1"/>
      </w:tcPr>
    </w:tblStylePr>
    <w:tblStylePr w:type="firstCol">
      <w:rPr>
        <w:rFonts w:ascii="Arial" w:hAnsi="Arial"/>
        <w:i/>
        <w:color w:val="416429" w:themeColor="accent6" w:themeShade="95"/>
        <w:sz w:val="22"/>
      </w:rPr>
      <w:pPr>
        <w:jc w:val="right"/>
      </w:pPr>
      <w:tcPr>
        <w:tcBorders>
          <w:top w:val="none" w:color="000000" w:sz="0" w:space="0"/>
          <w:left w:val="none" w:color="000000" w:sz="0" w:space="0"/>
          <w:bottom w:val="none" w:color="000000" w:sz="0" w:space="0"/>
          <w:right w:val="single" w:color="ADD394" w:themeColor="accent6" w:themeTint="90" w:sz="4" w:space="0"/>
        </w:tcBorders>
        <w:shd w:val="clear" w:color="ffffff" w:fill="auto"/>
      </w:tcPr>
    </w:tblStylePr>
    <w:tblStylePr w:type="lastCol">
      <w:rPr>
        <w:rFonts w:ascii="Arial" w:hAnsi="Arial"/>
        <w:i/>
        <w:color w:val="416429" w:themeColor="accent6" w:themeShade="95"/>
        <w:sz w:val="22"/>
      </w:rPr>
      <w:tcPr>
        <w:tcBorders>
          <w:top w:val="none" w:color="000000" w:sz="0" w:space="0"/>
          <w:left w:val="single" w:color="ADD394" w:themeColor="accent6" w:themeTint="90" w:sz="4" w:space="0"/>
          <w:bottom w:val="none" w:color="000000" w:sz="0" w:space="0"/>
          <w:right w:val="none" w:color="000000" w:sz="0" w:space="0"/>
        </w:tcBorders>
        <w:shd w:val="clear" w:color="ffffff" w:fill="auto"/>
      </w:tcPr>
    </w:tblStylePr>
    <w:tblStylePr w:type="band1Vert">
      <w:tcPr>
        <w:shd w:val="clear" w:color="e1efd8" w:themeColor="accent6" w:themeTint="34" w:fill="e1efd8" w:themeFill="accent6" w:themeFillTint="34"/>
      </w:tcPr>
    </w:tblStyle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bfbfbf" w:themeColor="text1" w:themeTint="40" w:fill="bfbfbf" w:themeFill="text1" w:themeFillTint="40"/>
      </w:tcPr>
    </w:tblStylePr>
    <w:tblStylePr w:type="band1Horz">
      <w:tcPr>
        <w:shd w:val="clear" w:color="bfbfbf" w:themeColor="text1" w:themeTint="40" w:fill="bfbfbf" w:themeFill="text1" w:themeFillTint="40"/>
      </w:tcPr>
    </w:tblStylePr>
  </w:style>
  <w:style w:type="table" w:styleId="ListTable1Light-Accent1" w:customStyle="1">
    <w:name w:val="List Table 1 Light - Accent 1"/>
    <w:basedOn w:val="a1"/>
    <w:uiPriority w:val="99"/>
    <w:tblPr>
      <w:tblStyleRowBandSize w:val="1"/>
      <w:tblStyleColBandSize w:val="1"/>
    </w:tblPr>
    <w:tblStylePr w:type="firstRow">
      <w:rPr>
        <w:b/>
        <w:color w:val="404040"/>
      </w:rPr>
      <w:tcPr>
        <w:tcBorders>
          <w:top w:val="none" w:color="000000" w:sz="4" w:space="0"/>
          <w:left w:val="none" w:color="000000" w:sz="4" w:space="0"/>
          <w:bottom w:val="single" w:color="5B9BD5" w:themeColor="accent1" w:sz="4" w:space="0"/>
          <w:right w:val="none" w:color="000000" w:sz="4" w:space="0"/>
        </w:tcBorders>
      </w:tcPr>
    </w:tblStylePr>
    <w:tblStylePr w:type="lastRow">
      <w:rPr>
        <w:b/>
        <w:color w:val="404040"/>
      </w:rPr>
      <w:tcPr>
        <w:tcBorders>
          <w:top w:val="single" w:color="5B9BD5" w:themeColor="accent1"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1Horz">
      <w:tcPr>
        <w:shd w:val="clear" w:color="d5e5f4" w:themeColor="accent1" w:themeTint="40" w:fill="d5e5f4" w:themeFill="accent1" w:themeFillTint="40"/>
      </w:tcPr>
    </w:tblStylePr>
  </w:style>
  <w:style w:type="table" w:styleId="ListTable1Light-Accent2" w:customStyle="1">
    <w:name w:val="List Table 1 Light - Accent 2"/>
    <w:basedOn w:val="a1"/>
    <w:uiPriority w:val="99"/>
    <w:tblPr>
      <w:tblStyleRowBandSize w:val="1"/>
      <w:tblStyleColBandSize w:val="1"/>
    </w:tbl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1Horz">
      <w:tcPr>
        <w:shd w:val="clear" w:color="fadecb" w:themeColor="accent2" w:themeTint="40" w:fill="fadecb" w:themeFill="accent2" w:themeFillTint="40"/>
      </w:tcPr>
    </w:tblStylePr>
  </w:style>
  <w:style w:type="table" w:styleId="ListTable1Light-Accent3" w:customStyle="1">
    <w:name w:val="List Table 1 Light - Accent 3"/>
    <w:basedOn w:val="a1"/>
    <w:uiPriority w:val="99"/>
    <w:tblPr>
      <w:tblStyleRowBandSize w:val="1"/>
      <w:tblStyleColBandSize w:val="1"/>
    </w:tbl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1Horz">
      <w:tcPr>
        <w:shd w:val="clear" w:color="e8e8e8" w:themeColor="accent3" w:themeTint="40" w:fill="e8e8e8" w:themeFill="accent3" w:themeFillTint="40"/>
      </w:tcPr>
    </w:tblStylePr>
  </w:style>
  <w:style w:type="table" w:styleId="ListTable1Light-Accent4" w:customStyle="1">
    <w:name w:val="List Table 1 Light - Accent 4"/>
    <w:basedOn w:val="a1"/>
    <w:uiPriority w:val="99"/>
    <w:tblPr>
      <w:tblStyleRowBandSize w:val="1"/>
      <w:tblStyleColBandSize w:val="1"/>
    </w:tbl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ffefbf" w:themeColor="accent4" w:themeTint="40" w:fill="ffefbf" w:themeFill="accent4" w:themeFillTint="40"/>
      </w:tcPr>
    </w:tblStylePr>
    <w:tblStylePr w:type="band1Horz">
      <w:tcPr>
        <w:shd w:val="clear" w:color="ffefbf" w:themeColor="accent4" w:themeTint="40" w:fill="ffefbf" w:themeFill="accent4" w:themeFillTint="40"/>
      </w:tcPr>
    </w:tblStylePr>
  </w:style>
  <w:style w:type="table" w:styleId="ListTable1Light-Accent5" w:customStyle="1">
    <w:name w:val="List Table 1 Light - Accent 5"/>
    <w:basedOn w:val="a1"/>
    <w:uiPriority w:val="99"/>
    <w:tblPr>
      <w:tblStyleRowBandSize w:val="1"/>
      <w:tblStyleColBandSize w:val="1"/>
    </w:tblPr>
    <w:tblStylePr w:type="firstRow">
      <w:rPr>
        <w:b/>
        <w:color w:val="404040"/>
      </w:rPr>
      <w:tcPr>
        <w:tcBorders>
          <w:top w:val="none" w:color="000000" w:sz="4" w:space="0"/>
          <w:left w:val="none" w:color="000000" w:sz="4" w:space="0"/>
          <w:bottom w:val="single" w:color="4472C4" w:themeColor="accent5" w:sz="4" w:space="0"/>
          <w:right w:val="none" w:color="000000" w:sz="4" w:space="0"/>
        </w:tcBorders>
      </w:tcPr>
    </w:tblStylePr>
    <w:tblStylePr w:type="lastRow">
      <w:rPr>
        <w:b/>
        <w:color w:val="404040"/>
      </w:rPr>
      <w:tcPr>
        <w:tcBorders>
          <w:top w:val="single" w:color="4472C4" w:themeColor="accent5"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cfdbf0" w:themeColor="accent5" w:themeTint="40" w:fill="cfdbf0" w:themeFill="accent5" w:themeFillTint="40"/>
      </w:tcPr>
    </w:tblStylePr>
    <w:tblStylePr w:type="band1Horz">
      <w:tcPr>
        <w:shd w:val="clear" w:color="cfdbf0" w:themeColor="accent5" w:themeTint="40" w:fill="cfdbf0" w:themeFill="accent5" w:themeFillTint="40"/>
      </w:tcPr>
    </w:tblStylePr>
  </w:style>
  <w:style w:type="table" w:styleId="ListTable1Light-Accent6" w:customStyle="1">
    <w:name w:val="List Table 1 Light - Accent 6"/>
    <w:basedOn w:val="a1"/>
    <w:uiPriority w:val="99"/>
    <w:tblPr>
      <w:tblStyleRowBandSize w:val="1"/>
      <w:tblStyleColBandSize w:val="1"/>
    </w:tbl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1Horz">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fbfbf" w:themeColor="text1" w:themeTint="40" w:fill="bfbfbf" w:themeFill="text1" w:themeFillTint="40"/>
      </w:tcPr>
    </w:tblStylePr>
    <w:tblStylePr w:type="band1Horz">
      <w:rPr>
        <w:rFonts w:ascii="Arial" w:hAnsi="Arial"/>
        <w:color w:val="404040"/>
        <w:sz w:val="22"/>
      </w:rPr>
      <w:tcPr>
        <w:shd w:val="clear" w:color="bfbfbf" w:themeColor="text1" w:themeTint="40" w:fill="bfbfbf" w:themeFill="text1" w:themeFillTint="40"/>
      </w:tcPr>
    </w:tblStylePr>
  </w:style>
  <w:style w:type="table" w:styleId="ListTable2-Accent1" w:customStyle="1">
    <w:name w:val="List Table 2 - Accent 1"/>
    <w:basedOn w:val="a1"/>
    <w:uiPriority w:val="99"/>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1Horz">
      <w:rPr>
        <w:rFonts w:ascii="Arial" w:hAnsi="Arial"/>
        <w:color w:val="404040"/>
        <w:sz w:val="22"/>
      </w:rPr>
      <w:tcPr>
        <w:shd w:val="clear" w:color="d5e5f4" w:themeColor="accent1" w:themeTint="40" w:fill="d5e5f4" w:themeFill="accent1" w:themeFillTint="40"/>
      </w:tcPr>
    </w:tblStylePr>
  </w:style>
  <w:style w:type="table" w:styleId="ListTable2-Accent2" w:customStyle="1">
    <w:name w:val="List Table 2 - Accent 2"/>
    <w:basedOn w:val="a1"/>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1Horz">
      <w:rPr>
        <w:rFonts w:ascii="Arial" w:hAnsi="Arial"/>
        <w:color w:val="404040"/>
        <w:sz w:val="22"/>
      </w:rPr>
      <w:tcPr>
        <w:shd w:val="clear" w:color="fadecb" w:themeColor="accent2" w:themeTint="40" w:fill="fadecb" w:themeFill="accent2" w:themeFillTint="40"/>
      </w:tcPr>
    </w:tblStylePr>
  </w:style>
  <w:style w:type="table" w:styleId="ListTable2-Accent3" w:customStyle="1">
    <w:name w:val="List Table 2 - Accent 3"/>
    <w:basedOn w:val="a1"/>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1Horz">
      <w:rPr>
        <w:rFonts w:ascii="Arial" w:hAnsi="Arial"/>
        <w:color w:val="404040"/>
        <w:sz w:val="22"/>
      </w:rPr>
      <w:tcPr>
        <w:shd w:val="clear" w:color="e8e8e8" w:themeColor="accent3" w:themeTint="40" w:fill="e8e8e8" w:themeFill="accent3" w:themeFillTint="40"/>
      </w:tcPr>
    </w:tblStylePr>
  </w:style>
  <w:style w:type="table" w:styleId="ListTable2-Accent4" w:customStyle="1">
    <w:name w:val="List Table 2 - Accent 4"/>
    <w:basedOn w:val="a1"/>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f" w:themeColor="accent4" w:themeTint="40" w:fill="ffefbf" w:themeFill="accent4" w:themeFillTint="40"/>
      </w:tcPr>
    </w:tblStylePr>
    <w:tblStylePr w:type="band1Horz">
      <w:rPr>
        <w:rFonts w:ascii="Arial" w:hAnsi="Arial"/>
        <w:color w:val="404040"/>
        <w:sz w:val="22"/>
      </w:rPr>
      <w:tcPr>
        <w:shd w:val="clear" w:color="ffefbf" w:themeColor="accent4" w:themeTint="40" w:fill="ffefbf" w:themeFill="accent4" w:themeFillTint="40"/>
      </w:tcPr>
    </w:tblStylePr>
  </w:style>
  <w:style w:type="table" w:styleId="ListTable2-Accent5" w:customStyle="1">
    <w:name w:val="List Table 2 - Accent 5"/>
    <w:basedOn w:val="a1"/>
    <w:uiPriority w:val="99"/>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cfdbf0" w:themeColor="accent5" w:themeTint="40" w:fill="cfdbf0" w:themeFill="accent5" w:themeFillTint="40"/>
      </w:tcPr>
    </w:tblStylePr>
    <w:tblStylePr w:type="band1Horz">
      <w:rPr>
        <w:rFonts w:ascii="Arial" w:hAnsi="Arial"/>
        <w:color w:val="404040"/>
        <w:sz w:val="22"/>
      </w:rPr>
      <w:tcPr>
        <w:shd w:val="clear" w:color="cfdbf0" w:themeColor="accent5" w:themeTint="40" w:fill="cfdbf0" w:themeFill="accent5" w:themeFillTint="40"/>
      </w:tcPr>
    </w:tblStylePr>
  </w:style>
  <w:style w:type="table" w:styleId="ListTable2-Accent6" w:customStyle="1">
    <w:name w:val="List Table 2 - Accent 6"/>
    <w:basedOn w:val="a1"/>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1Horz">
      <w:rPr>
        <w:rFonts w:ascii="Arial" w:hAnsi="Arial"/>
        <w:color w:val="404040"/>
        <w:sz w:val="22"/>
      </w:r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styleId="ListTable3-Accent1" w:customStyle="1">
    <w:name w:val="List Table 3 - Accent 1"/>
    <w:basedOn w:val="a1"/>
    <w:uiPriority w:val="9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1Horz">
      <w:rPr>
        <w:rFonts w:ascii="Arial" w:hAnsi="Arial"/>
        <w:color w:val="404040"/>
        <w:sz w:val="22"/>
      </w:rPr>
      <w:tcPr>
        <w:tcBorders>
          <w:top w:val="single" w:color="5B9BD5" w:themeColor="accent1" w:sz="4" w:space="0"/>
          <w:bottom w:val="single" w:color="5B9BD5" w:themeColor="accent1" w:sz="4" w:space="0"/>
        </w:tcBorders>
      </w:tcPr>
    </w:tblStylePr>
  </w:style>
  <w:style w:type="table" w:styleId="ListTable3-Accent2" w:customStyle="1">
    <w:name w:val="List Table 3 - Accent 2"/>
    <w:basedOn w:val="a1"/>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firstRow">
      <w:rPr>
        <w:rFonts w:ascii="Arial" w:hAnsi="Arial"/>
        <w:b/>
        <w:color w:val="ffffff"/>
        <w:sz w:val="22"/>
      </w:r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style>
  <w:style w:type="table" w:styleId="ListTable3-Accent3" w:customStyle="1">
    <w:name w:val="List Table 3 - Accent 3"/>
    <w:basedOn w:val="a1"/>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style>
  <w:style w:type="table" w:styleId="ListTable3-Accent4" w:customStyle="1">
    <w:name w:val="List Table 3 - Accent 4"/>
    <w:basedOn w:val="a1"/>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firstRow">
      <w:rPr>
        <w:rFonts w:ascii="Arial" w:hAnsi="Arial"/>
        <w:b/>
        <w:color w:val="ffffff"/>
        <w:sz w:val="22"/>
      </w:r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style>
  <w:style w:type="table" w:styleId="ListTable3-Accent5" w:customStyle="1">
    <w:name w:val="List Table 3 - Accent 5"/>
    <w:basedOn w:val="a1"/>
    <w:uiPriority w:val="99"/>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firstRow">
      <w:rPr>
        <w:rFonts w:ascii="Arial" w:hAnsi="Arial"/>
        <w:b/>
        <w:color w:val="ffffff"/>
        <w:sz w:val="22"/>
      </w:r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DA9DB" w:themeColor="accent5" w:themeTint="9A" w:sz="4" w:space="0"/>
          <w:right w:val="single" w:color="8DA9DB" w:themeColor="accent5" w:themeTint="9A" w:sz="4" w:space="0"/>
        </w:tcBorders>
      </w:tcPr>
    </w:tblStylePr>
    <w:tblStylePr w:type="band1Horz">
      <w:rPr>
        <w:rFonts w:ascii="Arial" w:hAnsi="Arial"/>
        <w:color w:val="404040"/>
        <w:sz w:val="22"/>
      </w:rPr>
      <w:tcPr>
        <w:tcBorders>
          <w:top w:val="single" w:color="8DA9DB" w:themeColor="accent5" w:themeTint="9A" w:sz="4" w:space="0"/>
          <w:bottom w:val="single" w:color="8DA9DB" w:themeColor="accent5" w:themeTint="9A" w:sz="4" w:space="0"/>
        </w:tcBorders>
      </w:tcPr>
    </w:tblStylePr>
  </w:style>
  <w:style w:type="table" w:styleId="ListTable3-Accent6" w:customStyle="1">
    <w:name w:val="List Table 3 - Accent 6"/>
    <w:basedOn w:val="a1"/>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style>
  <w:style w:type="table" w:styleId="-40">
    <w:name w:val="List Table 4"/>
    <w:basedOn w:val="a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fbfbf" w:themeColor="text1" w:themeTint="40" w:fill="bfbfbf" w:themeFill="text1" w:themeFillTint="40"/>
      </w:tcPr>
    </w:tblStylePr>
    <w:tblStylePr w:type="band1Horz">
      <w:rPr>
        <w:rFonts w:ascii="Arial" w:hAnsi="Arial"/>
        <w:color w:val="404040"/>
        <w:sz w:val="22"/>
      </w:rPr>
      <w:tcPr>
        <w:shd w:val="clear" w:color="bfbfbf" w:themeColor="text1" w:themeTint="40" w:fill="bfbfbf" w:themeFill="text1" w:themeFillTint="40"/>
      </w:tcPr>
    </w:tblStylePr>
  </w:style>
  <w:style w:type="table" w:styleId="ListTable4-Accent1" w:customStyle="1">
    <w:name w:val="List Table 4 - Accent 1"/>
    <w:basedOn w:val="a1"/>
    <w:uiPriority w:val="9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1Horz">
      <w:rPr>
        <w:rFonts w:ascii="Arial" w:hAnsi="Arial"/>
        <w:color w:val="404040"/>
        <w:sz w:val="22"/>
      </w:rPr>
      <w:tcPr>
        <w:shd w:val="clear" w:color="d5e5f4" w:themeColor="accent1" w:themeTint="40" w:fill="d5e5f4" w:themeFill="accent1" w:themeFillTint="40"/>
      </w:tcPr>
    </w:tblStylePr>
  </w:style>
  <w:style w:type="table" w:styleId="ListTable4-Accent2" w:customStyle="1">
    <w:name w:val="List Table 4 - Accent 2"/>
    <w:basedOn w:val="a1"/>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1Horz">
      <w:rPr>
        <w:rFonts w:ascii="Arial" w:hAnsi="Arial"/>
        <w:color w:val="404040"/>
        <w:sz w:val="22"/>
      </w:rPr>
      <w:tcPr>
        <w:shd w:val="clear" w:color="fadecb" w:themeColor="accent2" w:themeTint="40" w:fill="fadecb" w:themeFill="accent2" w:themeFillTint="40"/>
      </w:tcPr>
    </w:tblStylePr>
  </w:style>
  <w:style w:type="table" w:styleId="ListTable4-Accent3" w:customStyle="1">
    <w:name w:val="List Table 4 - Accent 3"/>
    <w:basedOn w:val="a1"/>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1Horz">
      <w:rPr>
        <w:rFonts w:ascii="Arial" w:hAnsi="Arial"/>
        <w:color w:val="404040"/>
        <w:sz w:val="22"/>
      </w:rPr>
      <w:tcPr>
        <w:shd w:val="clear" w:color="e8e8e8" w:themeColor="accent3" w:themeTint="40" w:fill="e8e8e8" w:themeFill="accent3" w:themeFillTint="40"/>
      </w:tcPr>
    </w:tblStylePr>
  </w:style>
  <w:style w:type="table" w:styleId="ListTable4-Accent4" w:customStyle="1">
    <w:name w:val="List Table 4 - Accent 4"/>
    <w:basedOn w:val="a1"/>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f" w:themeColor="accent4" w:themeTint="40" w:fill="ffefbf" w:themeFill="accent4" w:themeFillTint="40"/>
      </w:tcPr>
    </w:tblStylePr>
    <w:tblStylePr w:type="band1Horz">
      <w:rPr>
        <w:rFonts w:ascii="Arial" w:hAnsi="Arial"/>
        <w:color w:val="404040"/>
        <w:sz w:val="22"/>
      </w:rPr>
      <w:tcPr>
        <w:shd w:val="clear" w:color="ffefbf" w:themeColor="accent4" w:themeTint="40" w:fill="ffefbf" w:themeFill="accent4" w:themeFillTint="40"/>
      </w:tcPr>
    </w:tblStylePr>
  </w:style>
  <w:style w:type="table" w:styleId="ListTable4-Accent5" w:customStyle="1">
    <w:name w:val="List Table 4 - Accent 5"/>
    <w:basedOn w:val="a1"/>
    <w:uiPriority w:val="9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cfdbf0" w:themeColor="accent5" w:themeTint="40" w:fill="cfdbf0" w:themeFill="accent5" w:themeFillTint="40"/>
      </w:tcPr>
    </w:tblStylePr>
    <w:tblStylePr w:type="band1Horz">
      <w:rPr>
        <w:rFonts w:ascii="Arial" w:hAnsi="Arial"/>
        <w:color w:val="404040"/>
        <w:sz w:val="22"/>
      </w:rPr>
      <w:tcPr>
        <w:shd w:val="clear" w:color="cfdbf0" w:themeColor="accent5" w:themeTint="40" w:fill="cfdbf0" w:themeFill="accent5" w:themeFillTint="40"/>
      </w:tcPr>
    </w:tblStylePr>
  </w:style>
  <w:style w:type="table" w:styleId="ListTable4-Accent6" w:customStyle="1">
    <w:name w:val="List Table 4 - Accent 6"/>
    <w:basedOn w:val="a1"/>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1Horz">
      <w:rPr>
        <w:rFonts w:ascii="Arial" w:hAnsi="Arial"/>
        <w:color w:val="404040"/>
        <w:sz w:val="22"/>
      </w:r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firstRow">
      <w:rPr>
        <w:rFonts w:ascii="Arial" w:hAnsi="Arial"/>
        <w:b/>
        <w:color w:val="ffffff" w:themeColor="light1"/>
        <w:sz w:val="22"/>
      </w:rPr>
      <w:tcPr>
        <w:tcBorders>
          <w:top w:val="single" w:color="7F7F7F" w:themeColor="text1" w:themeTint="80" w:sz="32" w:space="0"/>
          <w:bottom w:val="single" w:color="FFFFFF" w:themeColor="light1" w:sz="12" w:space="0"/>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lastCol">
      <w:tcPr>
        <w:tcBorders>
          <w:left w:val="single" w:color="FFFFFF" w:themeColor="light1" w:sz="4" w:space="0"/>
          <w:right w:val="single" w:color="7F7F7F" w:themeColor="text1" w:themeTint="80" w:sz="32" w:space="0"/>
        </w:tcBorders>
      </w:tcPr>
    </w:tblStylePr>
    <w:tblStylePr w:type="band1Vert">
      <w:tcPr>
        <w:tcBorders>
          <w:left w:val="single" w:color="FFFFFF" w:themeColor="light1" w:sz="4" w:space="0"/>
          <w:right w:val="single" w:color="FFFFFF" w:themeColor="light1" w:sz="4" w:space="0"/>
        </w:tcBorders>
        <w:shd w:val="clear" w:color="7f7f7f" w:themeColor="text1" w:themeTint="80" w:fill="7f7f7f"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f7f7f" w:themeColor="text1" w:themeTint="80" w:fill="7f7f7f" w:themeFill="text1" w:themeFillTint="80"/>
      </w:tcPr>
    </w:tblStylePr>
    <w:tblStylePr w:type="band2Horz">
      <w:tcPr>
        <w:tcBorders>
          <w:top w:val="single" w:color="FFFFFF" w:themeColor="light1" w:sz="4" w:space="0"/>
          <w:bottom w:val="single" w:color="FFFFFF" w:themeColor="light1" w:sz="4" w:space="0"/>
        </w:tcBorders>
        <w:shd w:val="clear" w:color="7f7f7f" w:themeColor="text1" w:themeTint="80" w:fill="7f7f7f" w:themeFill="text1" w:themeFillTint="80"/>
      </w:tcPr>
    </w:tblStylePr>
  </w:style>
  <w:style w:type="table" w:styleId="ListTable5Dark-Accent1" w:customStyle="1">
    <w:name w:val="List Table 5 Dark - Accent 1"/>
    <w:basedOn w:val="a1"/>
    <w:uiPriority w:val="99"/>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blStylePr w:type="firstRow">
      <w:rPr>
        <w:rFonts w:ascii="Arial" w:hAnsi="Arial"/>
        <w:b/>
        <w:color w:val="ffffff" w:themeColor="light1"/>
        <w:sz w:val="22"/>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style>
  <w:style w:type="table" w:styleId="ListTable5Dark-Accent2" w:customStyle="1">
    <w:name w:val="List Table 5 Dark - Accent 2"/>
    <w:basedOn w:val="a1"/>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firstRow">
      <w:rPr>
        <w:rFonts w:ascii="Arial" w:hAnsi="Arial"/>
        <w:b/>
        <w:color w:val="ffffff" w:themeColor="light1"/>
        <w:sz w:val="22"/>
      </w:rPr>
      <w:tcPr>
        <w:tcBorders>
          <w:top w:val="single" w:color="F4B184" w:themeColor="accent2" w:themeTint="97" w:sz="32" w:space="0"/>
          <w:bottom w:val="single" w:color="FFFFFF" w:themeColor="light1" w:sz="12" w:space="0"/>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lastCol">
      <w:tcPr>
        <w:tcBorders>
          <w:left w:val="single" w:color="FFFFFF" w:themeColor="light1" w:sz="4" w:space="0"/>
          <w:right w:val="single" w:color="F4B184" w:themeColor="accent2" w:themeTint="97" w:sz="32" w:space="0"/>
        </w:tcBorders>
      </w:tcPr>
    </w:tblStylePr>
    <w:tblStylePr w:type="band1Vert">
      <w:tcPr>
        <w:tcBorders>
          <w:left w:val="single" w:color="FFFFFF" w:themeColor="light1" w:sz="4" w:space="0"/>
          <w:right w:val="single" w:color="FFFFFF" w:themeColor="light1" w:sz="4" w:space="0"/>
        </w:tcBorders>
        <w:shd w:val="clear" w:color="f4b184" w:themeColor="accent2" w:themeTint="97" w:fill="f4b184"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184" w:themeColor="accent2" w:themeTint="97" w:fill="f4b184" w:themeFill="accent2" w:themeFillTint="97"/>
      </w:tcPr>
    </w:tblStylePr>
    <w:tblStylePr w:type="band2Horz">
      <w:tcPr>
        <w:tcBorders>
          <w:top w:val="single" w:color="FFFFFF" w:themeColor="light1" w:sz="4" w:space="0"/>
          <w:bottom w:val="single" w:color="FFFFFF" w:themeColor="light1" w:sz="4" w:space="0"/>
        </w:tcBorders>
        <w:shd w:val="clear" w:color="f4b184" w:themeColor="accent2" w:themeTint="97" w:fill="f4b184" w:themeFill="accent2" w:themeFillTint="97"/>
      </w:tcPr>
    </w:tblStylePr>
  </w:style>
  <w:style w:type="table" w:styleId="ListTable5Dark-Accent3" w:customStyle="1">
    <w:name w:val="List Table 5 Dark - Accent 3"/>
    <w:basedOn w:val="a1"/>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firstRow">
      <w:rPr>
        <w:rFonts w:ascii="Arial" w:hAnsi="Arial"/>
        <w:b/>
        <w:color w:val="ffffff" w:themeColor="light1"/>
        <w:sz w:val="22"/>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style>
  <w:style w:type="table" w:styleId="ListTable5Dark-Accent4" w:customStyle="1">
    <w:name w:val="List Table 5 Dark - Accent 4"/>
    <w:basedOn w:val="a1"/>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firstRow">
      <w:rPr>
        <w:rFonts w:ascii="Arial" w:hAnsi="Arial"/>
        <w:b/>
        <w:color w:val="ffffff" w:themeColor="light1"/>
        <w:sz w:val="22"/>
      </w:rPr>
      <w:tcPr>
        <w:tcBorders>
          <w:top w:val="single" w:color="FFD865" w:themeColor="accent4" w:themeTint="9A" w:sz="32" w:space="0"/>
          <w:bottom w:val="single" w:color="FFFFFF" w:themeColor="light1" w:sz="12" w:space="0"/>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lastCol">
      <w:tcPr>
        <w:tcBorders>
          <w:left w:val="single" w:color="FFFFFF" w:themeColor="light1" w:sz="4" w:space="0"/>
          <w:right w:val="single" w:color="FFD865"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5" w:themeColor="accent4" w:themeTint="9A" w:fill="ffd865"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5" w:themeColor="accent4" w:themeTint="9A" w:fill="ffd865" w:themeFill="accent4" w:themeFillTint="9A"/>
      </w:tcPr>
    </w:tblStylePr>
    <w:tblStylePr w:type="band2Horz">
      <w:tcPr>
        <w:tcBorders>
          <w:top w:val="single" w:color="FFFFFF" w:themeColor="light1" w:sz="4" w:space="0"/>
          <w:bottom w:val="single" w:color="FFFFFF" w:themeColor="light1" w:sz="4" w:space="0"/>
        </w:tcBorders>
        <w:shd w:val="clear" w:color="ffd865" w:themeColor="accent4" w:themeTint="9A" w:fill="ffd865" w:themeFill="accent4" w:themeFillTint="9A"/>
      </w:tcPr>
    </w:tblStylePr>
  </w:style>
  <w:style w:type="table" w:styleId="ListTable5Dark-Accent5" w:customStyle="1">
    <w:name w:val="List Table 5 Dark - Accent 5"/>
    <w:basedOn w:val="a1"/>
    <w:uiPriority w:val="99"/>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blStylePr w:type="firstRow">
      <w:rPr>
        <w:rFonts w:ascii="Arial" w:hAnsi="Arial"/>
        <w:b/>
        <w:color w:val="ffffff" w:themeColor="light1"/>
        <w:sz w:val="22"/>
      </w:rPr>
      <w:tcPr>
        <w:tcBorders>
          <w:top w:val="single" w:color="8DA9DB" w:themeColor="accent5" w:themeTint="9A" w:sz="32" w:space="0"/>
          <w:bottom w:val="single" w:color="FFFFFF" w:themeColor="light1" w:sz="12" w:space="0"/>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8DA9DB" w:themeColor="accent5" w:themeTint="9A" w:sz="32" w:space="0"/>
          <w:right w:val="single" w:color="FFFFFF" w:themeColor="light1" w:sz="4" w:space="0"/>
        </w:tcBorders>
      </w:tcPr>
    </w:tblStylePr>
    <w:tblStylePr w:type="lastCol">
      <w:tcPr>
        <w:tcBorders>
          <w:left w:val="single" w:color="FFFFFF" w:themeColor="light1" w:sz="4" w:space="0"/>
          <w:right w:val="single" w:color="8D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da9db" w:themeColor="accent5" w:themeTint="9A" w:fill="8d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da9db" w:themeColor="accent5" w:themeTint="9A" w:fill="8da9db" w:themeFill="accent5" w:themeFillTint="9A"/>
      </w:tcPr>
    </w:tblStylePr>
    <w:tblStylePr w:type="band2Horz">
      <w:tcPr>
        <w:tcBorders>
          <w:top w:val="single" w:color="FFFFFF" w:themeColor="light1" w:sz="4" w:space="0"/>
          <w:bottom w:val="single" w:color="FFFFFF" w:themeColor="light1" w:sz="4" w:space="0"/>
        </w:tcBorders>
        <w:shd w:val="clear" w:color="8da9db" w:themeColor="accent5" w:themeTint="9A" w:fill="8da9db" w:themeFill="accent5" w:themeFillTint="9A"/>
      </w:tcPr>
    </w:tblStylePr>
  </w:style>
  <w:style w:type="table" w:styleId="ListTable5Dark-Accent6" w:customStyle="1">
    <w:name w:val="List Table 5 Dark - Accent 6"/>
    <w:basedOn w:val="a1"/>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firstRow">
      <w:rPr>
        <w:rFonts w:ascii="Arial" w:hAnsi="Arial"/>
        <w:b/>
        <w:color w:val="ffffff" w:themeColor="light1"/>
        <w:sz w:val="22"/>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cPr>
        <w:tcBorders>
          <w:bottom w:val="single" w:color="7F7F7F" w:themeColor="text1" w:themeTint="80" w:sz="4" w:space="0"/>
        </w:tcBorders>
      </w:tcPr>
    </w:tblStylePr>
    <w:tblStylePr w:type="lastRow">
      <w:rPr>
        <w:b/>
        <w:color w:val="000000" w:themeColor="text1"/>
      </w:rPr>
      <w:tcPr>
        <w:tcBorders>
          <w:top w:val="single" w:color="7F7F7F" w:themeColor="text1" w:themeTint="80" w:sz="4" w:space="0"/>
        </w:tcBorders>
      </w:tcPr>
    </w:tblStylePr>
    <w:tblStylePr w:type="firstCol">
      <w:rPr>
        <w:b/>
        <w:color w:val="000000" w:themeColor="text1"/>
      </w:rPr>
    </w:tblStylePr>
    <w:tblStylePr w:type="lastCol">
      <w:rPr>
        <w:b/>
        <w:color w:val="000000" w:themeColor="text1"/>
      </w:rPr>
    </w:tblStylePr>
    <w:tblStylePr w:type="band1Vert">
      <w:tcPr>
        <w:shd w:val="clear" w:color="bfbfbf" w:themeColor="text1" w:themeTint="40" w:fill="bfbfbf" w:themeFill="text1" w:themeFillTint="40"/>
      </w:tcPr>
    </w:tblStylePr>
    <w:tblStylePr w:type="band1Horz">
      <w:rPr>
        <w:rFonts w:ascii="Arial" w:hAnsi="Arial"/>
        <w:color w:val="000000" w:themeColor="text1"/>
        <w:sz w:val="22"/>
      </w:r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customStyle="1">
    <w:name w:val="List Table 6 Colorful - Accent 1"/>
    <w:basedOn w:val="a1"/>
    <w:uiPriority w:val="99"/>
    <w:tblPr>
      <w:tblStyleRowBandSize w:val="1"/>
      <w:tblStyleColBandSize w:val="1"/>
      <w:tblBorders>
        <w:top w:val="single" w:color="5B9BD5" w:themeColor="accent1" w:sz="4" w:space="0"/>
        <w:bottom w:val="single" w:color="5B9BD5" w:themeColor="accent1" w:sz="4" w:space="0"/>
      </w:tblBorders>
    </w:tblPr>
    <w:tblStylePr w:type="firstRow">
      <w:rPr>
        <w:b/>
        <w:color w:val="245a8d" w:themeColor="accent1" w:themeShade="95"/>
      </w:rPr>
      <w:tcPr>
        <w:tcBorders>
          <w:bottom w:val="single" w:color="5B9BD5" w:themeColor="accent1" w:sz="4" w:space="0"/>
        </w:tcBorders>
      </w:tcPr>
    </w:tblStylePr>
    <w:tblStylePr w:type="lastRow">
      <w:rPr>
        <w:b/>
        <w:color w:val="245a8d" w:themeColor="accent1" w:themeShade="95"/>
      </w:rPr>
      <w:tcPr>
        <w:tcBorders>
          <w:top w:val="single" w:color="5B9BD5" w:themeColor="accent1" w:sz="4" w:space="0"/>
        </w:tcBorders>
      </w:tcPr>
    </w:tblStylePr>
    <w:tblStylePr w:type="firstCol">
      <w:rPr>
        <w:b/>
        <w:color w:val="245a8d" w:themeColor="accent1" w:themeShade="95"/>
      </w:rPr>
    </w:tblStylePr>
    <w:tblStylePr w:type="lastCol">
      <w:rPr>
        <w:b/>
        <w:color w:val="245a8d" w:themeColor="accent1" w:themeShade="95"/>
      </w:rPr>
    </w:tblStylePr>
    <w:tblStylePr w:type="band1Vert">
      <w:tcPr>
        <w:shd w:val="clear" w:color="d5e5f4" w:themeColor="accent1" w:themeTint="40" w:fill="d5e5f4" w:themeFill="accent1" w:themeFillTint="40"/>
      </w:tcPr>
    </w:tblStyle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customStyle="1">
    <w:name w:val="List Table 6 Colorful - Accent 2"/>
    <w:basedOn w:val="a1"/>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firstRow">
      <w:rPr>
        <w:b/>
        <w:color w:val="f4b184" w:themeColor="accent2" w:themeTint="97" w:themeShade="95"/>
      </w:rPr>
      <w:tcPr>
        <w:tcBorders>
          <w:bottom w:val="single" w:color="F4B184" w:themeColor="accent2" w:themeTint="97" w:sz="4" w:space="0"/>
        </w:tcBorders>
      </w:tcPr>
    </w:tblStylePr>
    <w:tblStylePr w:type="lastRow">
      <w:rPr>
        <w:b/>
        <w:color w:val="f4b184" w:themeColor="accent2" w:themeTint="97" w:themeShade="95"/>
      </w:rPr>
      <w:tcPr>
        <w:tcBorders>
          <w:top w:val="single" w:color="F4B184" w:themeColor="accent2" w:themeTint="97" w:sz="4" w:space="0"/>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cPr>
        <w:shd w:val="clear" w:color="fadecb" w:themeColor="accent2" w:themeTint="40" w:fill="fadecb" w:themeFill="accent2" w:themeFillTint="40"/>
      </w:tcPr>
    </w:tblStyle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customStyle="1">
    <w:name w:val="List Table 6 Colorful - Accent 3"/>
    <w:basedOn w:val="a1"/>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firstRow">
      <w:rPr>
        <w:b/>
        <w:color w:val="c9c9c9" w:themeColor="accent3" w:themeTint="98" w:themeShade="95"/>
      </w:rPr>
      <w:tcPr>
        <w:tcBorders>
          <w:bottom w:val="single" w:color="C9C9C9" w:themeColor="accent3" w:themeTint="98" w:sz="4" w:space="0"/>
        </w:tcBorders>
      </w:tcPr>
    </w:tblStylePr>
    <w:tblStylePr w:type="lastRow">
      <w:rPr>
        <w:b/>
        <w:color w:val="c9c9c9" w:themeColor="accent3" w:themeTint="98" w:themeShade="95"/>
      </w:rPr>
      <w:tcPr>
        <w:tcBorders>
          <w:top w:val="single" w:color="C9C9C9" w:themeColor="accent3" w:themeTint="98" w:sz="4" w:space="0"/>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cPr>
        <w:shd w:val="clear" w:color="e8e8e8" w:themeColor="accent3" w:themeTint="40" w:fill="e8e8e8" w:themeFill="accent3" w:themeFillTint="40"/>
      </w:tcPr>
    </w:tblStyle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customStyle="1">
    <w:name w:val="List Table 6 Colorful - Accent 4"/>
    <w:basedOn w:val="a1"/>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firstRow">
      <w:rPr>
        <w:b/>
        <w:color w:val="ffd865" w:themeColor="accent4" w:themeTint="9A" w:themeShade="95"/>
      </w:rPr>
      <w:tcPr>
        <w:tcBorders>
          <w:bottom w:val="single" w:color="FFD865" w:themeColor="accent4" w:themeTint="9A" w:sz="4" w:space="0"/>
        </w:tcBorders>
      </w:tcPr>
    </w:tblStylePr>
    <w:tblStylePr w:type="lastRow">
      <w:rPr>
        <w:b/>
        <w:color w:val="ffd865" w:themeColor="accent4" w:themeTint="9A" w:themeShade="95"/>
      </w:rPr>
      <w:tcPr>
        <w:tcBorders>
          <w:top w:val="single" w:color="FFD865" w:themeColor="accent4" w:themeTint="9A" w:sz="4" w:space="0"/>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cPr>
        <w:shd w:val="clear" w:color="ffefbf" w:themeColor="accent4" w:themeTint="40" w:fill="ffefbf" w:themeFill="accent4" w:themeFillTint="40"/>
      </w:tcPr>
    </w:tblStyle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customStyle="1">
    <w:name w:val="List Table 6 Colorful - Accent 5"/>
    <w:basedOn w:val="a1"/>
    <w:uiPriority w:val="99"/>
    <w:tblPr>
      <w:tblStyleRowBandSize w:val="1"/>
      <w:tblStyleColBandSize w:val="1"/>
      <w:tblBorders>
        <w:top w:val="single" w:color="8DA9DB" w:themeColor="accent5" w:themeTint="9A" w:sz="4" w:space="0"/>
        <w:bottom w:val="single" w:color="8DA9DB" w:themeColor="accent5" w:themeTint="9A" w:sz="4" w:space="0"/>
      </w:tblBorders>
    </w:tblPr>
    <w:tblStylePr w:type="firstRow">
      <w:rPr>
        <w:b/>
        <w:color w:val="8da9db" w:themeColor="accent5" w:themeTint="9A" w:themeShade="95"/>
      </w:rPr>
      <w:tcPr>
        <w:tcBorders>
          <w:bottom w:val="single" w:color="8DA9DB" w:themeColor="accent5" w:themeTint="9A" w:sz="4" w:space="0"/>
        </w:tcBorders>
      </w:tcPr>
    </w:tblStylePr>
    <w:tblStylePr w:type="lastRow">
      <w:rPr>
        <w:b/>
        <w:color w:val="8da9db" w:themeColor="accent5" w:themeTint="9A" w:themeShade="95"/>
      </w:rPr>
      <w:tcPr>
        <w:tcBorders>
          <w:top w:val="single" w:color="8DA9DB" w:themeColor="accent5" w:themeTint="9A" w:sz="4" w:space="0"/>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cPr>
        <w:shd w:val="clear" w:color="cfdbf0" w:themeColor="accent5" w:themeTint="40" w:fill="cfdbf0" w:themeFill="accent5" w:themeFillTint="40"/>
      </w:tcPr>
    </w:tblStyle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customStyle="1">
    <w:name w:val="List Table 6 Colorful - Accent 6"/>
    <w:basedOn w:val="a1"/>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firstRow">
      <w:rPr>
        <w:b/>
        <w:color w:val="a9d08e" w:themeColor="accent6" w:themeTint="98" w:themeShade="95"/>
      </w:rPr>
      <w:tcPr>
        <w:tcBorders>
          <w:bottom w:val="single" w:color="A9D08E" w:themeColor="accent6" w:themeTint="98" w:sz="4" w:space="0"/>
        </w:tcBorders>
      </w:tcPr>
    </w:tblStylePr>
    <w:tblStylePr w:type="lastRow">
      <w:rPr>
        <w:b/>
        <w:color w:val="a9d08e" w:themeColor="accent6" w:themeTint="98" w:themeShade="95"/>
      </w:rPr>
      <w:tcPr>
        <w:tcBorders>
          <w:top w:val="single" w:color="A9D08E" w:themeColor="accent6" w:themeTint="98" w:sz="4" w:space="0"/>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cPr>
        <w:shd w:val="clear" w:color="daebcf" w:themeColor="accent6" w:themeTint="40" w:fill="daebcf" w:themeFill="accent6" w:themeFillTint="40"/>
      </w:tcPr>
    </w:tblStyle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color="7F7F7F" w:themeColor="text1" w:themeTint="80" w:sz="4" w:space="0"/>
      </w:tblBorders>
    </w:tblPr>
    <w:tblStylePr w:type="firstRow">
      <w:rPr>
        <w:rFonts w:ascii="Arial" w:hAnsi="Arial"/>
        <w:i/>
        <w:color w:val="7f7f7f" w:themeColor="text1" w:themeTint="80" w:themeShade="95"/>
        <w:sz w:val="22"/>
      </w:rPr>
      <w:tcPr>
        <w:tcBorders>
          <w:top w:val="none" w:color="000000" w:sz="0" w:space="0"/>
          <w:left w:val="none" w:color="000000" w:sz="0" w:space="0"/>
          <w:bottom w:val="single" w:color="7F7F7F" w:themeColor="text1" w:themeTint="80" w:sz="4" w:space="0"/>
          <w:right w:val="none" w:color="000000" w:sz="0" w:space="0"/>
        </w:tcBorders>
        <w:shd w:val="clear" w:color="ffffff" w:themeColor="light1" w:fill="ffffff" w:themeFill="light1"/>
      </w:tcPr>
    </w:tblStylePr>
    <w:tblStylePr w:type="lastRow">
      <w:rPr>
        <w:rFonts w:ascii="Arial" w:hAnsi="Arial"/>
        <w:i/>
        <w:color w:val="7f7f7f" w:themeColor="text1" w:themeTint="80" w:themeShade="95"/>
        <w:sz w:val="22"/>
      </w:rPr>
      <w:tcPr>
        <w:tcBorders>
          <w:top w:val="single" w:color="7F7F7F" w:themeColor="text1" w:themeTint="80" w:sz="4" w:space="0"/>
          <w:left w:val="none" w:color="000000" w:sz="0" w:space="0"/>
          <w:bottom w:val="none" w:color="000000" w:sz="0" w:space="0"/>
          <w:right w:val="none" w:color="000000" w:sz="0" w:space="0"/>
        </w:tcBorders>
        <w:shd w:val="clear" w:color="ffffff" w:themeColor="light1" w:fill="ffffff" w:themeFill="light1"/>
      </w:tcPr>
    </w:tblStylePr>
    <w:tblStylePr w:type="firstCol">
      <w:rPr>
        <w:rFonts w:ascii="Arial" w:hAnsi="Arial"/>
        <w:i/>
        <w:color w:val="7f7f7f" w:themeColor="text1" w:themeTint="80" w:themeShade="95"/>
        <w:sz w:val="22"/>
      </w:rPr>
      <w:pPr>
        <w:jc w:val="right"/>
      </w:pPr>
      <w:tcPr>
        <w:tcBorders>
          <w:top w:val="none" w:color="000000" w:sz="0" w:space="0"/>
          <w:left w:val="none" w:color="000000" w:sz="0" w:space="0"/>
          <w:bottom w:val="none" w:color="000000" w:sz="0" w:space="0"/>
          <w:right w:val="single" w:color="7F7F7F" w:themeColor="text1" w:themeTint="80" w:sz="4" w:space="0"/>
        </w:tcBorders>
        <w:shd w:val="clear" w:color="ffffff" w:fill="auto"/>
      </w:tcPr>
    </w:tblStylePr>
    <w:tblStylePr w:type="lastCol">
      <w:rPr>
        <w:rFonts w:ascii="Arial" w:hAnsi="Arial"/>
        <w:i/>
        <w:color w:val="7f7f7f" w:themeColor="text1" w:themeTint="80" w:themeShade="95"/>
        <w:sz w:val="22"/>
      </w:rPr>
      <w:tcPr>
        <w:tcBorders>
          <w:top w:val="none" w:color="000000" w:sz="0" w:space="0"/>
          <w:left w:val="single" w:color="7F7F7F" w:themeColor="text1" w:themeTint="80" w:sz="4" w:space="0"/>
          <w:bottom w:val="none" w:color="000000" w:sz="0" w:space="0"/>
          <w:right w:val="none" w:color="000000" w:sz="0" w:space="0"/>
        </w:tcBorders>
        <w:shd w:val="clear" w:color="ffffff" w:fill="auto"/>
      </w:tcPr>
    </w:tblStylePr>
    <w:tblStylePr w:type="band1Vert">
      <w:tcPr>
        <w:shd w:val="clear" w:color="bfbfbf" w:themeColor="text1" w:themeTint="40" w:fill="bfbfbf" w:themeFill="text1" w:themeFillTint="40"/>
      </w:tcPr>
    </w:tblStyle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customStyle="1">
    <w:name w:val="List Table 7 Colorful - Accent 1"/>
    <w:basedOn w:val="a1"/>
    <w:uiPriority w:val="99"/>
    <w:tblPr>
      <w:tblStyleRowBandSize w:val="1"/>
      <w:tblStyleColBandSize w:val="1"/>
      <w:tblBorders>
        <w:right w:val="single" w:color="5B9BD5" w:themeColor="accent1" w:sz="4" w:space="0"/>
      </w:tblBorders>
    </w:tblPr>
    <w:tblStylePr w:type="firstRow">
      <w:rPr>
        <w:rFonts w:ascii="Arial" w:hAnsi="Arial"/>
        <w:i/>
        <w:color w:val="245a8d" w:themeColor="accent1" w:themeShade="95"/>
        <w:sz w:val="22"/>
      </w:rPr>
      <w:tcPr>
        <w:tcBorders>
          <w:top w:val="none" w:color="000000" w:sz="0" w:space="0"/>
          <w:left w:val="none" w:color="000000" w:sz="0" w:space="0"/>
          <w:bottom w:val="single" w:color="5B9BD5" w:themeColor="accent1" w:sz="4" w:space="0"/>
          <w:right w:val="none" w:color="000000" w:sz="0" w:space="0"/>
        </w:tcBorders>
        <w:shd w:val="clear" w:color="ffffff" w:themeColor="light1" w:fill="ffffff" w:themeFill="light1"/>
      </w:tcPr>
    </w:tblStylePr>
    <w:tblStylePr w:type="lastRow">
      <w:rPr>
        <w:rFonts w:ascii="Arial" w:hAnsi="Arial"/>
        <w:i/>
        <w:color w:val="245a8d" w:themeColor="accent1" w:themeShade="95"/>
        <w:sz w:val="22"/>
      </w:rPr>
      <w:tcPr>
        <w:tcBorders>
          <w:top w:val="single" w:color="5B9BD5" w:themeColor="accent1" w:sz="4" w:space="0"/>
          <w:left w:val="none" w:color="000000" w:sz="0" w:space="0"/>
          <w:bottom w:val="none" w:color="000000" w:sz="0" w:space="0"/>
          <w:right w:val="none" w:color="000000" w:sz="0" w:space="0"/>
        </w:tcBorders>
        <w:shd w:val="clear" w:color="ffffff" w:themeColor="light1" w:fill="ffffff" w:themeFill="light1"/>
      </w:tcPr>
    </w:tblStylePr>
    <w:tblStylePr w:type="firstCol">
      <w:rPr>
        <w:rFonts w:ascii="Arial" w:hAnsi="Arial"/>
        <w:i/>
        <w:color w:val="245a8d" w:themeColor="accent1" w:themeShade="95"/>
        <w:sz w:val="22"/>
      </w:rPr>
      <w:pPr>
        <w:jc w:val="right"/>
      </w:pPr>
      <w:tcPr>
        <w:tcBorders>
          <w:top w:val="none" w:color="000000" w:sz="0" w:space="0"/>
          <w:left w:val="none" w:color="000000" w:sz="0" w:space="0"/>
          <w:bottom w:val="none" w:color="000000" w:sz="0" w:space="0"/>
          <w:right w:val="single" w:color="5B9BD5" w:themeColor="accent1" w:sz="4" w:space="0"/>
        </w:tcBorders>
        <w:shd w:val="clear" w:color="ffffff" w:fill="auto"/>
      </w:tcPr>
    </w:tblStylePr>
    <w:tblStylePr w:type="lastCol">
      <w:rPr>
        <w:rFonts w:ascii="Arial" w:hAnsi="Arial"/>
        <w:i/>
        <w:color w:val="245a8d" w:themeColor="accent1" w:themeShade="95"/>
        <w:sz w:val="22"/>
      </w:rPr>
      <w:tcPr>
        <w:tcBorders>
          <w:top w:val="none" w:color="000000" w:sz="0" w:space="0"/>
          <w:left w:val="single" w:color="5B9BD5" w:themeColor="accent1" w:sz="4" w:space="0"/>
          <w:bottom w:val="none" w:color="000000" w:sz="0" w:space="0"/>
          <w:right w:val="none" w:color="000000" w:sz="0" w:space="0"/>
        </w:tcBorders>
        <w:shd w:val="clear" w:color="ffffff" w:fill="auto"/>
      </w:tcPr>
    </w:tblStylePr>
    <w:tblStylePr w:type="band1Vert">
      <w:tcPr>
        <w:shd w:val="clear" w:color="d5e5f4" w:themeColor="accent1" w:themeTint="40" w:fill="d5e5f4" w:themeFill="accent1" w:themeFillTint="40"/>
      </w:tcPr>
    </w:tblStyle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customStyle="1">
    <w:name w:val="List Table 7 Colorful - Accent 2"/>
    <w:basedOn w:val="a1"/>
    <w:uiPriority w:val="99"/>
    <w:tblPr>
      <w:tblStyleRowBandSize w:val="1"/>
      <w:tblStyleColBandSize w:val="1"/>
      <w:tblBorders>
        <w:right w:val="single" w:color="F4B184" w:themeColor="accent2" w:themeTint="97" w:sz="4" w:space="0"/>
      </w:tblBorders>
    </w:tblPr>
    <w:tblStylePr w:type="firstRow">
      <w:rPr>
        <w:rFonts w:ascii="Arial" w:hAnsi="Arial"/>
        <w:i/>
        <w:color w:val="f4b184" w:themeColor="accent2" w:themeTint="97" w:themeShade="95"/>
        <w:sz w:val="22"/>
      </w:rPr>
      <w:tcPr>
        <w:tcBorders>
          <w:top w:val="none" w:color="000000" w:sz="0" w:space="0"/>
          <w:left w:val="none" w:color="000000" w:sz="0" w:space="0"/>
          <w:bottom w:val="single" w:color="F4B184" w:themeColor="accent2" w:themeTint="97" w:sz="4" w:space="0"/>
          <w:right w:val="none" w:color="000000" w:sz="0" w:space="0"/>
        </w:tcBorders>
        <w:shd w:val="clear" w:color="ffffff" w:themeColor="light1" w:fill="ffffff" w:themeFill="light1"/>
      </w:tcPr>
    </w:tblStylePr>
    <w:tblStylePr w:type="lastRow">
      <w:rPr>
        <w:rFonts w:ascii="Arial" w:hAnsi="Arial"/>
        <w:i/>
        <w:color w:val="f4b184" w:themeColor="accent2" w:themeTint="97" w:themeShade="95"/>
        <w:sz w:val="22"/>
      </w:rPr>
      <w:tcPr>
        <w:tcBorders>
          <w:top w:val="single" w:color="F4B184" w:themeColor="accent2" w:themeTint="97" w:sz="4" w:space="0"/>
          <w:left w:val="none" w:color="000000" w:sz="0" w:space="0"/>
          <w:bottom w:val="none" w:color="000000" w:sz="0" w:space="0"/>
          <w:right w:val="none" w:color="000000" w:sz="0" w:space="0"/>
        </w:tcBorders>
        <w:shd w:val="clear" w:color="ffffff" w:themeColor="light1" w:fill="ffffff" w:themeFill="light1"/>
      </w:tcPr>
    </w:tblStylePr>
    <w:tblStylePr w:type="firstCol">
      <w:rPr>
        <w:rFonts w:ascii="Arial" w:hAnsi="Arial"/>
        <w:i/>
        <w:color w:val="f4b184" w:themeColor="accent2" w:themeTint="97" w:themeShade="95"/>
        <w:sz w:val="22"/>
      </w:rPr>
      <w:pPr>
        <w:jc w:val="right"/>
      </w:pPr>
      <w:tcPr>
        <w:tcBorders>
          <w:top w:val="none" w:color="000000" w:sz="0" w:space="0"/>
          <w:left w:val="none" w:color="000000" w:sz="0" w:space="0"/>
          <w:bottom w:val="none" w:color="000000" w:sz="0" w:space="0"/>
          <w:right w:val="single" w:color="F4B184" w:themeColor="accent2" w:themeTint="97" w:sz="4" w:space="0"/>
        </w:tcBorders>
        <w:shd w:val="clear" w:color="ffffff" w:fill="auto"/>
      </w:tcPr>
    </w:tblStylePr>
    <w:tblStylePr w:type="lastCol">
      <w:rPr>
        <w:rFonts w:ascii="Arial" w:hAnsi="Arial"/>
        <w:i/>
        <w:color w:val="f4b184" w:themeColor="accent2" w:themeTint="97" w:themeShade="95"/>
        <w:sz w:val="22"/>
      </w:rPr>
      <w:tcPr>
        <w:tcBorders>
          <w:top w:val="none" w:color="000000" w:sz="0" w:space="0"/>
          <w:left w:val="single" w:color="F4B184" w:themeColor="accent2" w:themeTint="97" w:sz="4" w:space="0"/>
          <w:bottom w:val="none" w:color="000000" w:sz="0" w:space="0"/>
          <w:right w:val="none" w:color="000000" w:sz="0" w:space="0"/>
        </w:tcBorders>
        <w:shd w:val="clear" w:color="ffffff" w:fill="auto"/>
      </w:tcPr>
    </w:tblStylePr>
    <w:tblStylePr w:type="band1Vert">
      <w:tcPr>
        <w:shd w:val="clear" w:color="fadecb" w:themeColor="accent2" w:themeTint="40" w:fill="fadecb" w:themeFill="accent2" w:themeFillTint="40"/>
      </w:tcPr>
    </w:tblStyle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customStyle="1">
    <w:name w:val="List Table 7 Colorful - Accent 3"/>
    <w:basedOn w:val="a1"/>
    <w:uiPriority w:val="99"/>
    <w:tblPr>
      <w:tblStyleRowBandSize w:val="1"/>
      <w:tblStyleColBandSize w:val="1"/>
      <w:tblBorders>
        <w:right w:val="single" w:color="C9C9C9" w:themeColor="accent3" w:themeTint="98" w:sz="4" w:space="0"/>
      </w:tblBorders>
    </w:tblPr>
    <w:tblStylePr w:type="firstRow">
      <w:rPr>
        <w:rFonts w:ascii="Arial" w:hAnsi="Arial"/>
        <w:i/>
        <w:color w:val="c9c9c9" w:themeColor="accent3" w:themeTint="98" w:themeShade="95"/>
        <w:sz w:val="22"/>
      </w:rPr>
      <w:tcPr>
        <w:tcBorders>
          <w:top w:val="none" w:color="000000" w:sz="0" w:space="0"/>
          <w:left w:val="none" w:color="000000" w:sz="0" w:space="0"/>
          <w:bottom w:val="single" w:color="C9C9C9" w:themeColor="accent3" w:themeTint="98" w:sz="4" w:space="0"/>
          <w:right w:val="none" w:color="000000" w:sz="0" w:space="0"/>
        </w:tcBorders>
        <w:shd w:val="clear" w:color="ffffff" w:themeColor="light1" w:fill="ffffff" w:themeFill="light1"/>
      </w:tcPr>
    </w:tblStylePr>
    <w:tblStylePr w:type="lastRow">
      <w:rPr>
        <w:rFonts w:ascii="Arial" w:hAnsi="Arial"/>
        <w:i/>
        <w:color w:val="c9c9c9" w:themeColor="accent3" w:themeTint="98" w:themeShade="95"/>
        <w:sz w:val="22"/>
      </w:rPr>
      <w:tcPr>
        <w:tcBorders>
          <w:top w:val="single" w:color="C9C9C9" w:themeColor="accent3" w:themeTint="98" w:sz="4" w:space="0"/>
          <w:left w:val="none" w:color="000000" w:sz="0" w:space="0"/>
          <w:bottom w:val="none" w:color="000000" w:sz="0" w:space="0"/>
          <w:right w:val="none" w:color="000000" w:sz="0" w:space="0"/>
        </w:tcBorders>
        <w:shd w:val="clear" w:color="ffffff" w:themeColor="light1" w:fill="ffffff" w:themeFill="light1"/>
      </w:tcPr>
    </w:tblStylePr>
    <w:tblStylePr w:type="firstCol">
      <w:rPr>
        <w:rFonts w:ascii="Arial" w:hAnsi="Arial"/>
        <w:i/>
        <w:color w:val="c9c9c9" w:themeColor="accent3" w:themeTint="98" w:themeShade="95"/>
        <w:sz w:val="22"/>
      </w:rPr>
      <w:pPr>
        <w:jc w:val="right"/>
      </w:pPr>
      <w:tcPr>
        <w:tcBorders>
          <w:top w:val="none" w:color="000000" w:sz="0" w:space="0"/>
          <w:left w:val="none" w:color="000000" w:sz="0" w:space="0"/>
          <w:bottom w:val="none" w:color="000000" w:sz="0" w:space="0"/>
          <w:right w:val="single" w:color="C9C9C9" w:themeColor="accent3" w:themeTint="98" w:sz="4" w:space="0"/>
        </w:tcBorders>
        <w:shd w:val="clear" w:color="ffffff" w:fill="auto"/>
      </w:tcPr>
    </w:tblStylePr>
    <w:tblStylePr w:type="lastCol">
      <w:rPr>
        <w:rFonts w:ascii="Arial" w:hAnsi="Arial"/>
        <w:i/>
        <w:color w:val="c9c9c9" w:themeColor="accent3" w:themeTint="98" w:themeShade="95"/>
        <w:sz w:val="22"/>
      </w:rPr>
      <w:tcPr>
        <w:tcBorders>
          <w:top w:val="none" w:color="000000" w:sz="0" w:space="0"/>
          <w:left w:val="single" w:color="C9C9C9" w:themeColor="accent3" w:themeTint="98" w:sz="4" w:space="0"/>
          <w:bottom w:val="none" w:color="000000" w:sz="0" w:space="0"/>
          <w:right w:val="none" w:color="000000" w:sz="0" w:space="0"/>
        </w:tcBorders>
        <w:shd w:val="clear" w:color="ffffff" w:fill="auto"/>
      </w:tcPr>
    </w:tblStylePr>
    <w:tblStylePr w:type="band1Vert">
      <w:tcPr>
        <w:shd w:val="clear" w:color="e8e8e8" w:themeColor="accent3" w:themeTint="40" w:fill="e8e8e8" w:themeFill="accent3" w:themeFillTint="40"/>
      </w:tcPr>
    </w:tblStyle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customStyle="1">
    <w:name w:val="List Table 7 Colorful - Accent 4"/>
    <w:basedOn w:val="a1"/>
    <w:uiPriority w:val="99"/>
    <w:tblPr>
      <w:tblStyleRowBandSize w:val="1"/>
      <w:tblStyleColBandSize w:val="1"/>
      <w:tblBorders>
        <w:right w:val="single" w:color="FFD865" w:themeColor="accent4" w:themeTint="9A" w:sz="4" w:space="0"/>
      </w:tblBorders>
    </w:tblPr>
    <w:tblStylePr w:type="firstRow">
      <w:rPr>
        <w:rFonts w:ascii="Arial" w:hAnsi="Arial"/>
        <w:i/>
        <w:color w:val="ffd865" w:themeColor="accent4" w:themeTint="9A" w:themeShade="95"/>
        <w:sz w:val="22"/>
      </w:rPr>
      <w:tcPr>
        <w:tcBorders>
          <w:top w:val="none" w:color="000000" w:sz="0" w:space="0"/>
          <w:left w:val="none" w:color="000000" w:sz="0" w:space="0"/>
          <w:bottom w:val="single" w:color="FFD865" w:themeColor="accent4" w:themeTint="9A" w:sz="4" w:space="0"/>
          <w:right w:val="none" w:color="000000" w:sz="0" w:space="0"/>
        </w:tcBorders>
        <w:shd w:val="clear" w:color="ffffff" w:themeColor="light1" w:fill="ffffff" w:themeFill="light1"/>
      </w:tcPr>
    </w:tblStylePr>
    <w:tblStylePr w:type="lastRow">
      <w:rPr>
        <w:rFonts w:ascii="Arial" w:hAnsi="Arial"/>
        <w:i/>
        <w:color w:val="ffd865" w:themeColor="accent4" w:themeTint="9A" w:themeShade="95"/>
        <w:sz w:val="22"/>
      </w:rPr>
      <w:tcPr>
        <w:tcBorders>
          <w:top w:val="single" w:color="FFD865" w:themeColor="accent4" w:themeTint="9A" w:sz="4" w:space="0"/>
          <w:left w:val="none" w:color="000000" w:sz="0" w:space="0"/>
          <w:bottom w:val="none" w:color="000000" w:sz="0" w:space="0"/>
          <w:right w:val="none" w:color="000000" w:sz="0" w:space="0"/>
        </w:tcBorders>
        <w:shd w:val="clear" w:color="ffffff" w:themeColor="light1" w:fill="ffffff" w:themeFill="light1"/>
      </w:tcPr>
    </w:tblStylePr>
    <w:tblStylePr w:type="firstCol">
      <w:rPr>
        <w:rFonts w:ascii="Arial" w:hAnsi="Arial"/>
        <w:i/>
        <w:color w:val="ffd865" w:themeColor="accent4" w:themeTint="9A" w:themeShade="95"/>
        <w:sz w:val="22"/>
      </w:rPr>
      <w:pPr>
        <w:jc w:val="right"/>
      </w:pPr>
      <w:tcPr>
        <w:tcBorders>
          <w:top w:val="none" w:color="000000" w:sz="0" w:space="0"/>
          <w:left w:val="none" w:color="000000" w:sz="0" w:space="0"/>
          <w:bottom w:val="none" w:color="000000" w:sz="0" w:space="0"/>
          <w:right w:val="single" w:color="FFD865" w:themeColor="accent4" w:themeTint="9A" w:sz="4" w:space="0"/>
        </w:tcBorders>
        <w:shd w:val="clear" w:color="ffffff" w:fill="auto"/>
      </w:tcPr>
    </w:tblStylePr>
    <w:tblStylePr w:type="lastCol">
      <w:rPr>
        <w:rFonts w:ascii="Arial" w:hAnsi="Arial"/>
        <w:i/>
        <w:color w:val="ffd865" w:themeColor="accent4" w:themeTint="9A" w:themeShade="95"/>
        <w:sz w:val="22"/>
      </w:rPr>
      <w:tcPr>
        <w:tcBorders>
          <w:top w:val="none" w:color="000000" w:sz="0" w:space="0"/>
          <w:left w:val="single" w:color="FFD865" w:themeColor="accent4" w:themeTint="9A" w:sz="4" w:space="0"/>
          <w:bottom w:val="none" w:color="000000" w:sz="0" w:space="0"/>
          <w:right w:val="none" w:color="000000" w:sz="0" w:space="0"/>
        </w:tcBorders>
        <w:shd w:val="clear" w:color="ffffff" w:fill="auto"/>
      </w:tcPr>
    </w:tblStylePr>
    <w:tblStylePr w:type="band1Vert">
      <w:tcPr>
        <w:shd w:val="clear" w:color="ffefbf" w:themeColor="accent4" w:themeTint="40" w:fill="ffefbf" w:themeFill="accent4" w:themeFillTint="40"/>
      </w:tcPr>
    </w:tblStyle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customStyle="1">
    <w:name w:val="List Table 7 Colorful - Accent 5"/>
    <w:basedOn w:val="a1"/>
    <w:uiPriority w:val="99"/>
    <w:tblPr>
      <w:tblStyleRowBandSize w:val="1"/>
      <w:tblStyleColBandSize w:val="1"/>
      <w:tblBorders>
        <w:right w:val="single" w:color="8DA9DB" w:themeColor="accent5" w:themeTint="9A" w:sz="4" w:space="0"/>
      </w:tblBorders>
    </w:tblPr>
    <w:tblStylePr w:type="firstRow">
      <w:rPr>
        <w:rFonts w:ascii="Arial" w:hAnsi="Arial"/>
        <w:i/>
        <w:color w:val="8da9db" w:themeColor="accent5" w:themeTint="9A" w:themeShade="95"/>
        <w:sz w:val="22"/>
      </w:rPr>
      <w:tcPr>
        <w:tcBorders>
          <w:top w:val="none" w:color="000000" w:sz="0" w:space="0"/>
          <w:left w:val="none" w:color="000000" w:sz="0" w:space="0"/>
          <w:bottom w:val="single" w:color="8DA9DB" w:themeColor="accent5" w:themeTint="9A" w:sz="4" w:space="0"/>
          <w:right w:val="none" w:color="000000" w:sz="0" w:space="0"/>
        </w:tcBorders>
        <w:shd w:val="clear" w:color="ffffff" w:themeColor="light1" w:fill="ffffff" w:themeFill="light1"/>
      </w:tcPr>
    </w:tblStylePr>
    <w:tblStylePr w:type="lastRow">
      <w:rPr>
        <w:rFonts w:ascii="Arial" w:hAnsi="Arial"/>
        <w:i/>
        <w:color w:val="8da9db" w:themeColor="accent5" w:themeTint="9A" w:themeShade="95"/>
        <w:sz w:val="22"/>
      </w:rPr>
      <w:tcPr>
        <w:tcBorders>
          <w:top w:val="single" w:color="8DA9DB" w:themeColor="accent5" w:themeTint="9A" w:sz="4" w:space="0"/>
          <w:left w:val="none" w:color="000000" w:sz="0" w:space="0"/>
          <w:bottom w:val="none" w:color="000000" w:sz="0" w:space="0"/>
          <w:right w:val="none" w:color="000000" w:sz="0" w:space="0"/>
        </w:tcBorders>
        <w:shd w:val="clear" w:color="ffffff" w:themeColor="light1" w:fill="ffffff" w:themeFill="light1"/>
      </w:tcPr>
    </w:tblStylePr>
    <w:tblStylePr w:type="firstCol">
      <w:rPr>
        <w:rFonts w:ascii="Arial" w:hAnsi="Arial"/>
        <w:i/>
        <w:color w:val="8da9db" w:themeColor="accent5" w:themeTint="9A" w:themeShade="95"/>
        <w:sz w:val="22"/>
      </w:rPr>
      <w:pPr>
        <w:jc w:val="right"/>
      </w:pPr>
      <w:tcPr>
        <w:tcBorders>
          <w:top w:val="none" w:color="000000" w:sz="0" w:space="0"/>
          <w:left w:val="none" w:color="000000" w:sz="0" w:space="0"/>
          <w:bottom w:val="none" w:color="000000" w:sz="0" w:space="0"/>
          <w:right w:val="single" w:color="8DA9DB" w:themeColor="accent5" w:themeTint="9A" w:sz="4" w:space="0"/>
        </w:tcBorders>
        <w:shd w:val="clear" w:color="ffffff" w:fill="auto"/>
      </w:tcPr>
    </w:tblStylePr>
    <w:tblStylePr w:type="lastCol">
      <w:rPr>
        <w:rFonts w:ascii="Arial" w:hAnsi="Arial"/>
        <w:i/>
        <w:color w:val="8da9db" w:themeColor="accent5" w:themeTint="9A" w:themeShade="95"/>
        <w:sz w:val="22"/>
      </w:rPr>
      <w:tcPr>
        <w:tcBorders>
          <w:top w:val="none" w:color="000000" w:sz="0" w:space="0"/>
          <w:left w:val="single" w:color="8DA9DB" w:themeColor="accent5" w:themeTint="9A" w:sz="4" w:space="0"/>
          <w:bottom w:val="none" w:color="000000" w:sz="0" w:space="0"/>
          <w:right w:val="none" w:color="000000" w:sz="0" w:space="0"/>
        </w:tcBorders>
        <w:shd w:val="clear" w:color="ffffff" w:fill="auto"/>
      </w:tcPr>
    </w:tblStylePr>
    <w:tblStylePr w:type="band1Vert">
      <w:tcPr>
        <w:shd w:val="clear" w:color="cfdbf0" w:themeColor="accent5" w:themeTint="40" w:fill="cfdbf0" w:themeFill="accent5" w:themeFillTint="40"/>
      </w:tcPr>
    </w:tblStyle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customStyle="1">
    <w:name w:val="List Table 7 Colorful - Accent 6"/>
    <w:basedOn w:val="a1"/>
    <w:uiPriority w:val="99"/>
    <w:tblPr>
      <w:tblStyleRowBandSize w:val="1"/>
      <w:tblStyleColBandSize w:val="1"/>
      <w:tblBorders>
        <w:right w:val="single" w:color="A9D08E" w:themeColor="accent6" w:themeTint="98" w:sz="4" w:space="0"/>
      </w:tblBorders>
    </w:tblPr>
    <w:tblStylePr w:type="firstRow">
      <w:rPr>
        <w:rFonts w:ascii="Arial" w:hAnsi="Arial"/>
        <w:i/>
        <w:color w:val="a9d08e" w:themeColor="accent6" w:themeTint="98" w:themeShade="95"/>
        <w:sz w:val="22"/>
      </w:rPr>
      <w:tcPr>
        <w:tcBorders>
          <w:top w:val="none" w:color="000000" w:sz="0" w:space="0"/>
          <w:left w:val="none" w:color="000000" w:sz="0" w:space="0"/>
          <w:bottom w:val="single" w:color="A9D08E" w:themeColor="accent6" w:themeTint="98" w:sz="4" w:space="0"/>
          <w:right w:val="none" w:color="000000" w:sz="0" w:space="0"/>
        </w:tcBorders>
        <w:shd w:val="clear" w:color="ffffff" w:themeColor="light1" w:fill="ffffff" w:themeFill="light1"/>
      </w:tcPr>
    </w:tblStylePr>
    <w:tblStylePr w:type="lastRow">
      <w:rPr>
        <w:rFonts w:ascii="Arial" w:hAnsi="Arial"/>
        <w:i/>
        <w:color w:val="a9d08e" w:themeColor="accent6" w:themeTint="98" w:themeShade="95"/>
        <w:sz w:val="22"/>
      </w:rPr>
      <w:tcPr>
        <w:tcBorders>
          <w:top w:val="single" w:color="A9D08E" w:themeColor="accent6" w:themeTint="98" w:sz="4" w:space="0"/>
          <w:left w:val="none" w:color="000000" w:sz="0" w:space="0"/>
          <w:bottom w:val="none" w:color="000000" w:sz="0" w:space="0"/>
          <w:right w:val="none" w:color="000000" w:sz="0" w:space="0"/>
        </w:tcBorders>
        <w:shd w:val="clear" w:color="ffffff" w:themeColor="light1" w:fill="ffffff" w:themeFill="light1"/>
      </w:tcPr>
    </w:tblStylePr>
    <w:tblStylePr w:type="firstCol">
      <w:rPr>
        <w:rFonts w:ascii="Arial" w:hAnsi="Arial"/>
        <w:i/>
        <w:color w:val="a9d08e" w:themeColor="accent6" w:themeTint="98" w:themeShade="95"/>
        <w:sz w:val="22"/>
      </w:rPr>
      <w:pPr>
        <w:jc w:val="right"/>
      </w:pPr>
      <w:tcPr>
        <w:tcBorders>
          <w:top w:val="none" w:color="000000" w:sz="0" w:space="0"/>
          <w:left w:val="none" w:color="000000" w:sz="0" w:space="0"/>
          <w:bottom w:val="none" w:color="000000" w:sz="0" w:space="0"/>
          <w:right w:val="single" w:color="A9D08E" w:themeColor="accent6" w:themeTint="98" w:sz="4" w:space="0"/>
        </w:tcBorders>
        <w:shd w:val="clear" w:color="ffffff" w:fill="auto"/>
      </w:tcPr>
    </w:tblStylePr>
    <w:tblStylePr w:type="lastCol">
      <w:rPr>
        <w:rFonts w:ascii="Arial" w:hAnsi="Arial"/>
        <w:i/>
        <w:color w:val="a9d08e" w:themeColor="accent6" w:themeTint="98" w:themeShade="95"/>
        <w:sz w:val="22"/>
      </w:rPr>
      <w:tcPr>
        <w:tcBorders>
          <w:top w:val="none" w:color="000000" w:sz="0" w:space="0"/>
          <w:left w:val="single" w:color="A9D08E" w:themeColor="accent6" w:themeTint="98" w:sz="4" w:space="0"/>
          <w:bottom w:val="none" w:color="000000" w:sz="0" w:space="0"/>
          <w:right w:val="none" w:color="000000" w:sz="0" w:space="0"/>
        </w:tcBorders>
        <w:shd w:val="clear" w:color="ffffff" w:fill="auto"/>
      </w:tcPr>
    </w:tblStylePr>
    <w:tblStylePr w:type="band1Vert">
      <w:tcPr>
        <w:shd w:val="clear" w:color="daebcf" w:themeColor="accent6" w:themeTint="40" w:fill="daebcf" w:themeFill="accent6" w:themeFillTint="40"/>
      </w:tcPr>
    </w:tblStyle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ned-Accent" w:customStyle="1">
    <w:name w:val="Lined - Accent"/>
    <w:basedOn w:val="a1"/>
    <w:uiPriority w:val="99"/>
    <w:rPr>
      <w:color w:val="404040"/>
    </w:rPr>
    <w:tblPr>
      <w:tblStyleRowBandSize w:val="1"/>
      <w:tblStyleColBandSize w:val="1"/>
    </w:tblPr>
    <w:tblStylePr w:type="firstRow">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tblStylePr w:type="firstCol">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style>
  <w:style w:type="table" w:styleId="Lined-Accent1" w:customStyle="1">
    <w:name w:val="Lined - Accent 1"/>
    <w:basedOn w:val="a1"/>
    <w:uiPriority w:val="99"/>
    <w:rPr>
      <w:color w:val="404040"/>
    </w:rPr>
    <w:tblPr>
      <w:tblStyleRowBandSize w:val="1"/>
      <w:tblStyleColBandSize w:val="1"/>
    </w:tblPr>
    <w:tblStylePr w:type="firstRow">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tblStylePr w:type="firstCol">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style>
  <w:style w:type="table" w:styleId="Lined-Accent2" w:customStyle="1">
    <w:name w:val="Lined - Accent 2"/>
    <w:basedOn w:val="a1"/>
    <w:uiPriority w:val="99"/>
    <w:rPr>
      <w:color w:val="404040"/>
    </w:rPr>
    <w:tblPr>
      <w:tblStyleRowBandSize w:val="1"/>
      <w:tblStyleColBandSize w:val="1"/>
    </w:tblPr>
    <w:tblStylePr w:type="firstRow">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tblStylePr w:type="firstCol">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style>
  <w:style w:type="table" w:styleId="Lined-Accent3" w:customStyle="1">
    <w:name w:val="Lined - Accent 3"/>
    <w:basedOn w:val="a1"/>
    <w:uiPriority w:val="99"/>
    <w:rPr>
      <w:color w:val="404040"/>
    </w:rPr>
    <w:tblPr>
      <w:tblStyleRowBandSize w:val="1"/>
      <w:tblStyleColBandSize w:val="1"/>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style>
  <w:style w:type="table" w:styleId="Lined-Accent4" w:customStyle="1">
    <w:name w:val="Lined - Accent 4"/>
    <w:basedOn w:val="a1"/>
    <w:uiPriority w:val="99"/>
    <w:rPr>
      <w:color w:val="404040"/>
    </w:rPr>
    <w:tblPr>
      <w:tblStyleRowBandSize w:val="1"/>
      <w:tblStyleColBandSize w:val="1"/>
    </w:tblPr>
    <w:tblStylePr w:type="firstRow">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tblStylePr w:type="firstCol">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style>
  <w:style w:type="table" w:styleId="Lined-Accent5" w:customStyle="1">
    <w:name w:val="Lined - Accent 5"/>
    <w:basedOn w:val="a1"/>
    <w:uiPriority w:val="99"/>
    <w:rPr>
      <w:color w:val="404040"/>
    </w:rPr>
    <w:tblPr>
      <w:tblStyleRowBandSize w:val="1"/>
      <w:tblStyleColBandSize w:val="1"/>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style>
  <w:style w:type="table" w:styleId="Lined-Accent6" w:customStyle="1">
    <w:name w:val="Lined - Accent 6"/>
    <w:basedOn w:val="a1"/>
    <w:uiPriority w:val="99"/>
    <w:rPr>
      <w:color w:val="404040"/>
    </w:rPr>
    <w:tblPr>
      <w:tblStyleRowBandSize w:val="1"/>
      <w:tblStyleColBandSize w:val="1"/>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style>
  <w:style w:type="table" w:styleId="BorderedLined-Accent" w:customStyle="1">
    <w:name w:val="Bordered &amp; Lined - Accent"/>
    <w:basedOn w:val="a1"/>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tblStylePr w:type="firstCol">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style>
  <w:style w:type="table" w:styleId="BorderedLined-Accent1" w:customStyle="1">
    <w:name w:val="Bordered &amp; Lined - Accent 1"/>
    <w:basedOn w:val="a1"/>
    <w:uiPriority w:val="99"/>
    <w:rPr>
      <w:color w:val="404040"/>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blStylePr w:type="firstRow">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tblStylePr w:type="firstCol">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style>
  <w:style w:type="table" w:styleId="BorderedLined-Accent2" w:customStyle="1">
    <w:name w:val="Bordered &amp; Lined - Accent 2"/>
    <w:basedOn w:val="a1"/>
    <w:uiPriority w:val="99"/>
    <w:rPr>
      <w:color w:val="404040"/>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tblStylePr w:type="firstCol">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style>
  <w:style w:type="table" w:styleId="BorderedLined-Accent3" w:customStyle="1">
    <w:name w:val="Bordered &amp; Lined - Accent 3"/>
    <w:basedOn w:val="a1"/>
    <w:uiPriority w:val="99"/>
    <w:rPr>
      <w:color w:val="404040"/>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style>
  <w:style w:type="table" w:styleId="BorderedLined-Accent4" w:customStyle="1">
    <w:name w:val="Bordered &amp; Lined - Accent 4"/>
    <w:basedOn w:val="a1"/>
    <w:uiPriority w:val="99"/>
    <w:rPr>
      <w:color w:val="404040"/>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firstRow">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tblStylePr w:type="firstCol">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style>
  <w:style w:type="table" w:styleId="BorderedLined-Accent5" w:customStyle="1">
    <w:name w:val="Bordered &amp; Lined - Accent 5"/>
    <w:basedOn w:val="a1"/>
    <w:uiPriority w:val="99"/>
    <w:rPr>
      <w:color w:val="404040"/>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style>
  <w:style w:type="table" w:styleId="BorderedLined-Accent6" w:customStyle="1">
    <w:name w:val="Bordered &amp; Lined - Accent 6"/>
    <w:basedOn w:val="a1"/>
    <w:uiPriority w:val="99"/>
    <w:rPr>
      <w:color w:val="404040"/>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style>
  <w:style w:type="table" w:styleId="Bordered" w:customStyle="1">
    <w:name w:val="Bordered"/>
    <w:basedOn w:val="a1"/>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rFonts w:ascii="Arial" w:hAnsi="Arial"/>
        <w:color w:val="404040"/>
        <w:sz w:val="22"/>
      </w:rPr>
      <w:tcPr>
        <w:tcBorders>
          <w:bottom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F7F7F" w:themeColor="text1" w:themeTint="80" w:sz="12" w:space="0"/>
        </w:tcBorders>
      </w:tcPr>
    </w:tblStyle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style>
  <w:style w:type="table" w:styleId="Bordered-Accent1" w:customStyle="1">
    <w:name w:val="Bordered - Accent 1"/>
    <w:basedOn w:val="a1"/>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style>
  <w:style w:type="table" w:styleId="Bordered-Accent2" w:customStyle="1">
    <w:name w:val="Bordered - Accent 2"/>
    <w:basedOn w:val="a1"/>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184" w:themeColor="accent2" w:themeTint="97" w:sz="12" w:space="0"/>
        </w:tcBorders>
      </w:tcPr>
    </w:tblStyle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styleId="Bordered-Accent3" w:customStyle="1">
    <w:name w:val="Bordered - Accent 3"/>
    <w:basedOn w:val="a1"/>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styleId="Bordered-Accent4" w:customStyle="1">
    <w:name w:val="Bordered - Accent 4"/>
    <w:basedOn w:val="a1"/>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rFonts w:ascii="Arial" w:hAnsi="Arial"/>
        <w:color w:val="404040"/>
        <w:sz w:val="22"/>
      </w:rPr>
      <w:tcPr>
        <w:tcBorders>
          <w:bottom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5" w:themeColor="accent4" w:themeTint="9A" w:sz="12" w:space="0"/>
        </w:tcBorders>
      </w:tcPr>
    </w:tblStyle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style>
  <w:style w:type="table" w:styleId="Bordered-Accent5" w:customStyle="1">
    <w:name w:val="Bordered - Accent 5"/>
    <w:basedOn w:val="a1"/>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firstRow">
      <w:rPr>
        <w:rFonts w:ascii="Arial" w:hAnsi="Arial"/>
        <w:color w:val="404040"/>
        <w:sz w:val="22"/>
      </w:rPr>
      <w:tcPr>
        <w:tcBorders>
          <w:bottom w:val="single" w:color="8DA9DB" w:themeColor="accent5" w:themeTint="9A" w:sz="12" w:space="0"/>
        </w:tcBorders>
      </w:tcPr>
    </w:tblStylePr>
    <w:tblStylePr w:type="lastRow">
      <w:rPr>
        <w:rFonts w:ascii="Arial" w:hAnsi="Arial"/>
        <w:color w:val="404040"/>
        <w:sz w:val="22"/>
      </w:rPr>
      <w:tcPr>
        <w:tcBorders>
          <w:top w:val="single" w:color="8D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DA9DB" w:themeColor="accent5" w:themeTint="9A" w:sz="12" w:space="0"/>
        </w:tcBorders>
      </w:tcPr>
    </w:tblStyle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style>
  <w:style w:type="table" w:styleId="Bordered-Accent6" w:customStyle="1">
    <w:name w:val="Bordered - Accent 6"/>
    <w:basedOn w:val="a1"/>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character" w:styleId="FootnoteTextChar" w:customStyle="1">
    <w:name w:val="Footnote Text Char"/>
    <w:uiPriority w:val="99"/>
    <w:rPr>
      <w:sz w:val="18"/>
    </w:rPr>
  </w:style>
  <w:style w:type="paragraph" w:styleId="ac">
    <w:name w:val="endnote text"/>
    <w:basedOn w:val="a"/>
    <w:link w:val="ad"/>
    <w:uiPriority w:val="99"/>
    <w:semiHidden/>
    <w:unhideWhenUsed/>
    <w:rPr>
      <w:sz w:val="20"/>
    </w:rPr>
  </w:style>
  <w:style w:type="character" w:styleId="ad" w:customStyle="1">
    <w:name w:val="Текст концевой сноски Знак"/>
    <w:link w:val="ac"/>
    <w:uiPriority w:val="99"/>
    <w:rPr>
      <w:sz w:val="20"/>
    </w:rPr>
  </w:style>
  <w:style w:type="character" w:styleId="ae">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
    <w:name w:val="TOC Heading"/>
    <w:uiPriority w:val="39"/>
    <w:unhideWhenUsed/>
  </w:style>
  <w:style w:type="paragraph" w:styleId="af0">
    <w:name w:val="table of figures"/>
    <w:basedOn w:val="a"/>
    <w:next w:val="a"/>
    <w:uiPriority w:val="99"/>
    <w:unhideWhenUsed/>
  </w:style>
  <w:style w:type="paragraph" w:styleId="af1">
    <w:name w:val="Body Text"/>
    <w:basedOn w:val="a"/>
    <w:link w:val="af2"/>
    <w:pPr>
      <w:jc w:val="both"/>
    </w:pPr>
    <w:rPr>
      <w:sz w:val="32"/>
    </w:rPr>
  </w:style>
  <w:style w:type="paragraph" w:styleId="25">
    <w:name w:val="Body Text 2"/>
    <w:basedOn w:val="a"/>
    <w:link w:val="26"/>
    <w:pPr>
      <w:jc w:val="both"/>
    </w:pPr>
    <w:rPr>
      <w:b/>
      <w:bCs/>
      <w:sz w:val="26"/>
    </w:rPr>
  </w:style>
  <w:style w:type="paragraph" w:styleId="33">
    <w:name w:val="Body Text 3"/>
    <w:basedOn w:val="a"/>
    <w:link w:val="34"/>
    <w:pPr>
      <w:jc w:val="both"/>
    </w:pPr>
    <w:rPr>
      <w:sz w:val="26"/>
    </w:rPr>
  </w:style>
  <w:style w:type="paragraph" w:styleId="af3">
    <w:name w:val="header"/>
    <w:basedOn w:val="a"/>
    <w:link w:val="af4"/>
    <w:uiPriority w:val="99"/>
    <w:pPr>
      <w:tabs>
        <w:tab w:val="center" w:pos="4677"/>
        <w:tab w:val="right" w:pos="9355"/>
      </w:tabs>
    </w:pPr>
  </w:style>
  <w:style w:type="character" w:styleId="af5">
    <w:name w:val="page number"/>
    <w:basedOn w:val="a0"/>
  </w:style>
  <w:style w:type="paragraph" w:styleId="af6">
    <w:name w:val="Body Text Indent"/>
    <w:basedOn w:val="a"/>
    <w:link w:val="af7"/>
    <w:pPr>
      <w:ind w:firstLine="540"/>
      <w:jc w:val="both"/>
    </w:pPr>
    <w:rPr>
      <w:sz w:val="26"/>
    </w:rPr>
  </w:style>
  <w:style w:type="paragraph" w:styleId="af8">
    <w:name w:val="footer"/>
    <w:basedOn w:val="a"/>
    <w:link w:val="af9"/>
    <w:pPr>
      <w:tabs>
        <w:tab w:val="center" w:pos="4677"/>
        <w:tab w:val="right" w:pos="9355"/>
      </w:tabs>
    </w:pPr>
  </w:style>
  <w:style w:type="paragraph" w:styleId="27">
    <w:name w:val="Body Text Indent 2"/>
    <w:basedOn w:val="a"/>
    <w:link w:val="28"/>
    <w:pPr>
      <w:ind w:firstLine="708"/>
      <w:jc w:val="both"/>
    </w:pPr>
    <w:rPr>
      <w:sz w:val="26"/>
    </w:rPr>
  </w:style>
  <w:style w:type="paragraph" w:styleId="afa">
    <w:name w:val="Balloon Text"/>
    <w:basedOn w:val="a"/>
    <w:link w:val="afb"/>
    <w:rPr>
      <w:rFonts w:ascii="Tahoma" w:hAnsi="Tahoma"/>
      <w:sz w:val="16"/>
      <w:szCs w:val="16"/>
    </w:rPr>
  </w:style>
  <w:style w:type="character" w:styleId="afb" w:customStyle="1">
    <w:name w:val="Текст выноски Знак"/>
    <w:link w:val="afa"/>
    <w:rPr>
      <w:rFonts w:ascii="Tahoma" w:hAnsi="Tahoma" w:cs="Tahoma"/>
      <w:sz w:val="16"/>
      <w:szCs w:val="16"/>
    </w:rPr>
  </w:style>
  <w:style w:type="paragraph" w:styleId="2CharCharCharCharCharCharCharCharCharCharCharCharCharCharCharChar" w:customStyle="1">
    <w:name w:val="Знак Знак2 Char Char Знак Знак Char Char Знак Знак Char Char Знак Знак Char Char Знак Знак Char Char Знак Знак Char Char Знак Знак Char Char Знак Знак Char Char"/>
    <w:basedOn w:val="a"/>
    <w:pPr>
      <w:spacing w:before="100" w:beforeAutospacing="1" w:after="100" w:afterAutospacing="1"/>
    </w:pPr>
    <w:rPr>
      <w:rFonts w:ascii="Tahoma" w:hAnsi="Tahoma"/>
      <w:sz w:val="20"/>
      <w:szCs w:val="20"/>
      <w:lang w:val="en-US" w:eastAsia="en-US"/>
    </w:rPr>
  </w:style>
  <w:style w:type="table" w:styleId="afc">
    <w:name w:val="Table Grid"/>
    <w:basedOn w:val="a1"/>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0" w:customStyle="1">
    <w:name w:val="Заголовок 5 Знак"/>
    <w:link w:val="5"/>
    <w:semiHidden/>
    <w:rPr>
      <w:rFonts w:ascii="Calibri" w:hAnsi="Calibri" w:eastAsia="Times New Roman" w:cs="Times New Roman"/>
      <w:b/>
      <w:bCs/>
      <w:i/>
      <w:iCs/>
      <w:sz w:val="26"/>
      <w:szCs w:val="26"/>
    </w:rPr>
  </w:style>
  <w:style w:type="paragraph" w:styleId="ConsPlusNonformat" w:customStyle="1">
    <w:name w:val="ConsPlusNonformat"/>
    <w:pPr>
      <w:widowControl w:val="off"/>
    </w:pPr>
    <w:rPr>
      <w:rFonts w:ascii="Courier New" w:hAnsi="Courier New" w:cs="Courier New"/>
    </w:rPr>
  </w:style>
  <w:style w:type="paragraph" w:styleId="13" w:customStyle="1">
    <w:name w:val="Без интервала1"/>
    <w:basedOn w:val="a"/>
    <w:qFormat/>
    <w:pPr>
      <w:jc w:val="both"/>
    </w:pPr>
    <w:rPr>
      <w:sz w:val="28"/>
      <w:szCs w:val="28"/>
      <w:lang w:eastAsia="en-US"/>
    </w:rPr>
  </w:style>
  <w:style w:type="paragraph" w:styleId="afd">
    <w:name w:val="Normal (Web)"/>
    <w:basedOn w:val="a"/>
    <w:link w:val="afe"/>
    <w:uiPriority w:val="99"/>
    <w:qFormat/>
    <w:pPr>
      <w:widowControl w:val="off"/>
      <w:spacing w:before="100" w:beforeAutospacing="1" w:after="100" w:afterAutospacing="1"/>
    </w:pPr>
    <w:rPr>
      <w:spacing w:val="-4"/>
    </w:rPr>
  </w:style>
  <w:style w:type="paragraph" w:styleId="35">
    <w:name w:val="Body Text Indent 3"/>
    <w:basedOn w:val="a"/>
    <w:link w:val="36"/>
    <w:pPr>
      <w:spacing w:after="120"/>
      <w:ind w:left="283"/>
    </w:pPr>
    <w:rPr>
      <w:sz w:val="16"/>
      <w:szCs w:val="16"/>
    </w:rPr>
  </w:style>
  <w:style w:type="character" w:styleId="36" w:customStyle="1">
    <w:name w:val="Основной текст с отступом 3 Знак"/>
    <w:link w:val="35"/>
    <w:rPr>
      <w:sz w:val="16"/>
      <w:szCs w:val="16"/>
    </w:rPr>
  </w:style>
  <w:style w:type="paragraph" w:styleId="ConsPlusNormal" w:customStyle="1">
    <w:name w:val="ConsPlusNormal"/>
    <w:pPr>
      <w:widowControl w:val="off"/>
      <w:ind w:firstLine="720"/>
    </w:pPr>
    <w:rPr>
      <w:rFonts w:ascii="Arial" w:hAnsi="Arial" w:cs="Arial"/>
    </w:rPr>
  </w:style>
  <w:style w:type="paragraph" w:styleId="Style6" w:customStyle="1">
    <w:name w:val="Style6"/>
    <w:basedOn w:val="a"/>
    <w:uiPriority w:val="99"/>
    <w:pPr>
      <w:widowControl w:val="off"/>
      <w:spacing w:line="299" w:lineRule="exact"/>
      <w:ind w:firstLine="710"/>
      <w:jc w:val="both"/>
    </w:pPr>
  </w:style>
  <w:style w:type="paragraph" w:styleId="Default" w:customStyle="1">
    <w:name w:val="Default"/>
    <w:rPr>
      <w:rFonts w:eastAsia="Calibri"/>
      <w:color w:val="000000"/>
      <w:sz w:val="24"/>
      <w:szCs w:val="24"/>
    </w:rPr>
  </w:style>
  <w:style w:type="paragraph" w:styleId="aff" w:customStyle="1">
    <w:name w:val="Прижатый влево"/>
    <w:basedOn w:val="a"/>
    <w:next w:val="a"/>
    <w:uiPriority w:val="99"/>
    <w:rPr>
      <w:rFonts w:ascii="Arial" w:hAnsi="Arial" w:eastAsia="Calibri" w:cs="Arial"/>
      <w:lang w:eastAsia="en-US"/>
    </w:rPr>
  </w:style>
  <w:style w:type="character" w:styleId="fontstyle01" w:customStyle="1">
    <w:name w:val="fontstyle01"/>
    <w:rPr>
      <w:rFonts w:hint="default" w:ascii="OfficinaSansC-Book" w:hAnsi="OfficinaSansC-Book"/>
      <w:b w:val="0"/>
      <w:bCs w:val="0"/>
      <w:i w:val="0"/>
      <w:iCs w:val="0"/>
      <w:color w:val="000000"/>
      <w:sz w:val="24"/>
      <w:szCs w:val="24"/>
    </w:rPr>
  </w:style>
  <w:style w:type="character" w:styleId="fontstyle21" w:customStyle="1">
    <w:name w:val="fontstyle21"/>
    <w:rPr>
      <w:rFonts w:hint="default" w:ascii="OfficinaSansC-Bold" w:hAnsi="OfficinaSansC-Bold"/>
      <w:b/>
      <w:bCs/>
      <w:i w:val="0"/>
      <w:iCs w:val="0"/>
      <w:color w:val="000000"/>
      <w:sz w:val="24"/>
      <w:szCs w:val="24"/>
    </w:rPr>
  </w:style>
  <w:style w:type="character" w:styleId="aff0">
    <w:name w:val="Hyperlink"/>
    <w:rPr>
      <w:color w:val="0000ff"/>
      <w:u w:val="single"/>
    </w:rPr>
  </w:style>
  <w:style w:type="character" w:styleId="num11" w:customStyle="1">
    <w:name w:val="num11"/>
  </w:style>
  <w:style w:type="character" w:styleId="num4" w:customStyle="1">
    <w:name w:val="num4"/>
  </w:style>
  <w:style w:type="paragraph" w:styleId="formattext" w:customStyle="1">
    <w:name w:val="formattext"/>
    <w:basedOn w:val="a"/>
    <w:pPr>
      <w:spacing w:before="100" w:beforeAutospacing="1" w:after="100" w:afterAutospacing="1"/>
    </w:pPr>
  </w:style>
  <w:style w:type="character" w:styleId="40" w:customStyle="1">
    <w:name w:val="Заголовок 4 Знак"/>
    <w:link w:val="4"/>
    <w:rPr>
      <w:rFonts w:ascii="Calibri" w:hAnsi="Calibri"/>
      <w:b/>
      <w:bCs/>
      <w:sz w:val="28"/>
      <w:szCs w:val="28"/>
    </w:rPr>
  </w:style>
  <w:style w:type="character" w:styleId="60" w:customStyle="1">
    <w:name w:val="Заголовок 6 Знак"/>
    <w:link w:val="6"/>
    <w:rPr>
      <w:color w:val="000000"/>
      <w:sz w:val="28"/>
      <w:szCs w:val="28"/>
    </w:rPr>
  </w:style>
  <w:style w:type="character" w:styleId="70" w:customStyle="1">
    <w:name w:val="Заголовок 7 Знак"/>
    <w:link w:val="7"/>
    <w:rPr>
      <w:rFonts w:ascii="Calibri" w:hAnsi="Calibri"/>
      <w:sz w:val="24"/>
      <w:szCs w:val="24"/>
    </w:rPr>
  </w:style>
  <w:style w:type="character" w:styleId="80" w:customStyle="1">
    <w:name w:val="Заголовок 8 Знак"/>
    <w:link w:val="8"/>
    <w:rPr>
      <w:rFonts w:ascii="Calibri" w:hAnsi="Calibri"/>
      <w:i/>
      <w:iCs/>
      <w:sz w:val="24"/>
      <w:szCs w:val="24"/>
    </w:rPr>
  </w:style>
  <w:style w:type="character" w:styleId="90" w:customStyle="1">
    <w:name w:val="Заголовок 9 Знак"/>
    <w:link w:val="9"/>
    <w:rPr>
      <w:rFonts w:ascii="Cambria" w:hAnsi="Cambria"/>
    </w:rPr>
  </w:style>
  <w:style w:type="character" w:styleId="10" w:customStyle="1">
    <w:name w:val="Заголовок 1 Знак"/>
    <w:link w:val="1"/>
    <w:rPr>
      <w:rFonts w:ascii="Arial" w:hAnsi="Arial" w:cs="Arial"/>
      <w:b/>
      <w:bCs/>
      <w:sz w:val="32"/>
      <w:szCs w:val="32"/>
    </w:rPr>
  </w:style>
  <w:style w:type="character" w:styleId="20" w:customStyle="1">
    <w:name w:val="Заголовок 2 Знак"/>
    <w:link w:val="2"/>
    <w:rPr>
      <w:b/>
      <w:bCs/>
      <w:sz w:val="26"/>
      <w:szCs w:val="24"/>
    </w:rPr>
  </w:style>
  <w:style w:type="character" w:styleId="30" w:customStyle="1">
    <w:name w:val="Заголовок 3 Знак"/>
    <w:link w:val="3"/>
    <w:rPr>
      <w:b/>
      <w:bCs/>
      <w:sz w:val="28"/>
      <w:szCs w:val="24"/>
    </w:rPr>
  </w:style>
  <w:style w:type="paragraph" w:styleId="aff1">
    <w:name w:val="footnote text"/>
    <w:basedOn w:val="a"/>
    <w:link w:val="aff2"/>
    <w:pPr>
      <w:widowControl w:val="off"/>
    </w:pPr>
    <w:rPr>
      <w:sz w:val="20"/>
      <w:szCs w:val="20"/>
    </w:rPr>
  </w:style>
  <w:style w:type="character" w:styleId="aff2" w:customStyle="1">
    <w:name w:val="Текст сноски Знак"/>
    <w:link w:val="aff1"/>
  </w:style>
  <w:style w:type="character" w:styleId="aff3">
    <w:name w:val="footnote reference"/>
    <w:rPr>
      <w:rFonts w:cs="Times New Roman"/>
      <w:sz w:val="20"/>
      <w:szCs w:val="20"/>
      <w:vertAlign w:val="superscript"/>
    </w:rPr>
  </w:style>
  <w:style w:type="paragraph" w:styleId="BlockQuotation" w:customStyle="1">
    <w:name w:val="Block Quotation"/>
    <w:basedOn w:val="a"/>
    <w:pPr>
      <w:widowControl w:val="off"/>
      <w:ind w:left="567" w:right="-2" w:firstLine="851"/>
      <w:jc w:val="both"/>
    </w:pPr>
    <w:rPr>
      <w:sz w:val="28"/>
      <w:szCs w:val="28"/>
    </w:rPr>
  </w:style>
  <w:style w:type="character" w:styleId="af4" w:customStyle="1">
    <w:name w:val="Верхний колонтитул Знак"/>
    <w:link w:val="af3"/>
    <w:uiPriority w:val="99"/>
    <w:rPr>
      <w:sz w:val="24"/>
      <w:szCs w:val="24"/>
    </w:rPr>
  </w:style>
  <w:style w:type="character" w:styleId="af9" w:customStyle="1">
    <w:name w:val="Нижний колонтитул Знак"/>
    <w:link w:val="af8"/>
    <w:rPr>
      <w:sz w:val="24"/>
      <w:szCs w:val="24"/>
    </w:rPr>
  </w:style>
  <w:style w:type="character" w:styleId="af2" w:customStyle="1">
    <w:name w:val="Основной текст Знак"/>
    <w:link w:val="af1"/>
    <w:rPr>
      <w:sz w:val="32"/>
      <w:szCs w:val="24"/>
    </w:rPr>
  </w:style>
  <w:style w:type="paragraph" w:styleId="ab">
    <w:name w:val="caption"/>
    <w:basedOn w:val="a"/>
    <w:link w:val="aa"/>
    <w:qFormat/>
    <w:pPr>
      <w:spacing w:before="100" w:beforeAutospacing="1" w:after="100" w:afterAutospacing="1"/>
    </w:pPr>
  </w:style>
  <w:style w:type="character" w:styleId="26" w:customStyle="1">
    <w:name w:val="Основной текст 2 Знак"/>
    <w:link w:val="25"/>
    <w:rPr>
      <w:b/>
      <w:bCs/>
      <w:sz w:val="26"/>
      <w:szCs w:val="24"/>
    </w:rPr>
  </w:style>
  <w:style w:type="character" w:styleId="28" w:customStyle="1">
    <w:name w:val="Основной текст с отступом 2 Знак"/>
    <w:link w:val="27"/>
    <w:rPr>
      <w:sz w:val="26"/>
      <w:szCs w:val="24"/>
    </w:rPr>
  </w:style>
  <w:style w:type="character" w:styleId="af7" w:customStyle="1">
    <w:name w:val="Основной текст с отступом Знак"/>
    <w:link w:val="af6"/>
    <w:rPr>
      <w:sz w:val="26"/>
      <w:szCs w:val="24"/>
    </w:rPr>
  </w:style>
  <w:style w:type="paragraph" w:styleId="aff4" w:customStyle="1">
    <w:name w:val="Название"/>
    <w:basedOn w:val="a"/>
    <w:link w:val="aff5"/>
    <w:qFormat/>
    <w:pPr>
      <w:tabs>
        <w:tab w:val="left" w:pos="12255"/>
      </w:tabs>
      <w:jc w:val="center"/>
    </w:pPr>
    <w:rPr>
      <w:rFonts w:ascii="Cambria" w:hAnsi="Cambria"/>
      <w:b/>
      <w:bCs/>
      <w:sz w:val="32"/>
      <w:szCs w:val="32"/>
    </w:rPr>
  </w:style>
  <w:style w:type="character" w:styleId="aff5" w:customStyle="1">
    <w:name w:val="Название Знак"/>
    <w:link w:val="aff4"/>
    <w:rPr>
      <w:rFonts w:ascii="Cambria" w:hAnsi="Cambria"/>
      <w:b/>
      <w:bCs/>
      <w:sz w:val="32"/>
      <w:szCs w:val="32"/>
    </w:rPr>
  </w:style>
  <w:style w:type="character" w:styleId="34" w:customStyle="1">
    <w:name w:val="Основной текст 3 Знак"/>
    <w:link w:val="33"/>
    <w:rPr>
      <w:sz w:val="26"/>
      <w:szCs w:val="24"/>
    </w:rPr>
  </w:style>
  <w:style w:type="character" w:styleId="14" w:customStyle="1">
    <w:name w:val="Название книги1"/>
    <w:rPr>
      <w:rFonts w:cs="Times New Roman"/>
      <w:b/>
      <w:bCs/>
      <w:smallCaps/>
      <w:spacing w:val="5"/>
    </w:rPr>
  </w:style>
  <w:style w:type="character" w:styleId="15" w:customStyle="1">
    <w:name w:val="Сильное выделение1"/>
    <w:rPr>
      <w:rFonts w:cs="Times New Roman"/>
      <w:b/>
      <w:bCs/>
      <w:i/>
      <w:iCs/>
      <w:color w:val="4f81bd"/>
    </w:rPr>
  </w:style>
  <w:style w:type="character" w:styleId="aff6">
    <w:name w:val="Strong"/>
    <w:uiPriority w:val="22"/>
    <w:qFormat/>
    <w:rPr>
      <w:rFonts w:cs="Times New Roman"/>
      <w:b/>
      <w:bCs/>
    </w:rPr>
  </w:style>
  <w:style w:type="character" w:styleId="time-for-print" w:customStyle="1">
    <w:name w:val="time-for-print"/>
    <w:rPr>
      <w:rFonts w:cs="Times New Roman"/>
    </w:rPr>
  </w:style>
  <w:style w:type="character" w:styleId="portions-count-for-print" w:customStyle="1">
    <w:name w:val="portions-count-for-print"/>
    <w:rPr>
      <w:rFonts w:cs="Times New Roman"/>
    </w:rPr>
  </w:style>
  <w:style w:type="character" w:styleId="author-for-print" w:customStyle="1">
    <w:name w:val="author-for-print"/>
    <w:rPr>
      <w:rFonts w:cs="Times New Roman"/>
    </w:rPr>
  </w:style>
  <w:style w:type="character" w:styleId="g-float-left" w:customStyle="1">
    <w:name w:val="g-float-left"/>
    <w:rPr>
      <w:rFonts w:cs="Times New Roman"/>
    </w:rPr>
  </w:style>
  <w:style w:type="character" w:styleId="number" w:customStyle="1">
    <w:name w:val="number"/>
    <w:rPr>
      <w:rFonts w:cs="Times New Roman"/>
    </w:rPr>
  </w:style>
  <w:style w:type="character" w:styleId="b-recipe-ratingslider-counter" w:customStyle="1">
    <w:name w:val="b-recipe-rating__slider-counter"/>
    <w:rPr>
      <w:rFonts w:cs="Times New Roman"/>
    </w:rPr>
  </w:style>
  <w:style w:type="character" w:styleId="count" w:customStyle="1">
    <w:name w:val="count"/>
    <w:rPr>
      <w:rFonts w:cs="Times New Roman"/>
    </w:rPr>
  </w:style>
  <w:style w:type="paragraph" w:styleId="clearfix" w:customStyle="1">
    <w:name w:val="clearfix"/>
    <w:basedOn w:val="a"/>
    <w:pPr>
      <w:spacing w:before="100" w:beforeAutospacing="1" w:after="100" w:afterAutospacing="1"/>
    </w:pPr>
  </w:style>
  <w:style w:type="character" w:styleId="selectbox-label" w:customStyle="1">
    <w:name w:val="selectbox-label"/>
    <w:rPr>
      <w:rFonts w:cs="Times New Roman"/>
    </w:rPr>
  </w:style>
  <w:style w:type="character" w:styleId="yield" w:customStyle="1">
    <w:name w:val="yield"/>
    <w:rPr>
      <w:rFonts w:cs="Times New Roman"/>
    </w:rPr>
  </w:style>
  <w:style w:type="paragraph" w:styleId="cook-time" w:customStyle="1">
    <w:name w:val="cook-time"/>
    <w:basedOn w:val="a"/>
    <w:pPr>
      <w:spacing w:before="100" w:beforeAutospacing="1" w:after="100" w:afterAutospacing="1"/>
    </w:pPr>
  </w:style>
  <w:style w:type="character" w:styleId="duration" w:customStyle="1">
    <w:name w:val="duration"/>
    <w:rPr>
      <w:rFonts w:cs="Times New Roman"/>
    </w:rPr>
  </w:style>
  <w:style w:type="character" w:styleId="ingredient" w:customStyle="1">
    <w:name w:val="ingredient"/>
    <w:rPr>
      <w:rFonts w:cs="Times New Roman"/>
    </w:rPr>
  </w:style>
  <w:style w:type="character" w:styleId="wpfp-span" w:customStyle="1">
    <w:name w:val="wpfp-span"/>
    <w:rPr>
      <w:rFonts w:cs="Times New Roman"/>
    </w:rPr>
  </w:style>
  <w:style w:type="character" w:styleId="date-post" w:customStyle="1">
    <w:name w:val="date-post"/>
    <w:rPr>
      <w:rFonts w:cs="Times New Roman"/>
    </w:rPr>
  </w:style>
  <w:style w:type="character" w:styleId="author-post" w:customStyle="1">
    <w:name w:val="author-post"/>
    <w:rPr>
      <w:rFonts w:cs="Times New Roman"/>
    </w:rPr>
  </w:style>
  <w:style w:type="character" w:styleId="fn" w:customStyle="1">
    <w:name w:val="fn"/>
    <w:rPr>
      <w:rFonts w:cs="Times New Roman"/>
    </w:rPr>
  </w:style>
  <w:style w:type="character" w:styleId="rmeta" w:customStyle="1">
    <w:name w:val="r_meta"/>
    <w:rPr>
      <w:rFonts w:cs="Times New Roman"/>
    </w:rPr>
  </w:style>
  <w:style w:type="character" w:styleId="nutrition" w:customStyle="1">
    <w:name w:val="nutrition"/>
    <w:rPr>
      <w:rFonts w:cs="Times New Roman"/>
    </w:rPr>
  </w:style>
  <w:style w:type="character" w:styleId="calories" w:customStyle="1">
    <w:name w:val="calories"/>
    <w:rPr>
      <w:rFonts w:cs="Times New Roman"/>
    </w:rPr>
  </w:style>
  <w:style w:type="paragraph" w:styleId="headerbg" w:customStyle="1">
    <w:name w:val="headerbg"/>
    <w:basedOn w:val="a"/>
    <w:pPr>
      <w:spacing w:before="100" w:beforeAutospacing="1" w:after="100" w:afterAutospacing="1"/>
    </w:pPr>
  </w:style>
  <w:style w:type="paragraph" w:styleId="bgveg" w:customStyle="1">
    <w:name w:val="bg_veg"/>
    <w:basedOn w:val="a"/>
    <w:pPr>
      <w:spacing w:before="100" w:beforeAutospacing="1" w:after="100" w:afterAutospacing="1"/>
    </w:pPr>
  </w:style>
  <w:style w:type="paragraph" w:styleId="tagline" w:customStyle="1">
    <w:name w:val="tagline"/>
    <w:basedOn w:val="a"/>
    <w:pPr>
      <w:spacing w:before="100" w:beforeAutospacing="1" w:after="100" w:afterAutospacing="1"/>
    </w:pPr>
    <w:rPr>
      <w:rFonts w:ascii="Trebuchet MS" w:hAnsi="Trebuchet MS" w:cs="Trebuchet MS"/>
      <w:b/>
      <w:bCs/>
      <w:vanish/>
      <w:color w:val="6699cc"/>
      <w:sz w:val="17"/>
      <w:szCs w:val="17"/>
    </w:rPr>
  </w:style>
  <w:style w:type="paragraph" w:styleId="cornerleft" w:customStyle="1">
    <w:name w:val="cornerleft"/>
    <w:basedOn w:val="a"/>
    <w:pPr>
      <w:spacing w:before="100" w:beforeAutospacing="1" w:after="100" w:afterAutospacing="1"/>
    </w:pPr>
  </w:style>
  <w:style w:type="paragraph" w:styleId="cornerright" w:customStyle="1">
    <w:name w:val="cornerright"/>
    <w:basedOn w:val="a"/>
    <w:pPr>
      <w:spacing w:before="100" w:beforeAutospacing="1" w:after="100" w:afterAutospacing="1"/>
    </w:pPr>
  </w:style>
  <w:style w:type="paragraph" w:styleId="widthsize" w:customStyle="1">
    <w:name w:val="widthsize"/>
    <w:basedOn w:val="a"/>
    <w:pPr>
      <w:spacing w:before="100" w:beforeAutospacing="1" w:after="100" w:afterAutospacing="1"/>
    </w:pPr>
    <w:rPr>
      <w:color w:val="ffffff"/>
    </w:rPr>
  </w:style>
  <w:style w:type="paragraph" w:styleId="menu" w:customStyle="1">
    <w:name w:val="menu"/>
    <w:basedOn w:val="a"/>
    <w:pPr>
      <w:shd w:val="clear" w:color="auto" w:fill="eedda6"/>
      <w:spacing w:before="100" w:beforeAutospacing="1" w:after="100" w:afterAutospacing="1"/>
    </w:pPr>
  </w:style>
  <w:style w:type="paragraph" w:styleId="mainmenu" w:customStyle="1">
    <w:name w:val="mainmenu"/>
    <w:basedOn w:val="a"/>
    <w:pPr>
      <w:spacing w:before="100" w:beforeAutospacing="1" w:after="100" w:afterAutospacing="1"/>
    </w:pPr>
  </w:style>
  <w:style w:type="paragraph" w:styleId="mainsyn" w:customStyle="1">
    <w:name w:val="mainsyn"/>
    <w:basedOn w:val="a"/>
    <w:pPr>
      <w:spacing w:before="100" w:beforeAutospacing="1" w:after="100" w:afterAutospacing="1"/>
    </w:pPr>
  </w:style>
  <w:style w:type="paragraph" w:styleId="scs" w:customStyle="1">
    <w:name w:val="scs"/>
    <w:basedOn w:val="a"/>
    <w:pPr>
      <w:spacing w:before="100" w:beforeAutospacing="1" w:after="100" w:afterAutospacing="1"/>
      <w:ind w:left="240" w:right="3228"/>
    </w:pPr>
  </w:style>
  <w:style w:type="paragraph" w:styleId="sc" w:customStyle="1">
    <w:name w:val="sc"/>
    <w:basedOn w:val="a"/>
    <w:pPr>
      <w:spacing w:before="100" w:beforeAutospacing="1" w:after="100" w:afterAutospacing="1"/>
      <w:ind w:left="240" w:right="3228"/>
    </w:pPr>
  </w:style>
  <w:style w:type="paragraph" w:styleId="posthead" w:customStyle="1">
    <w:name w:val="posthead"/>
    <w:basedOn w:val="a"/>
    <w:pPr>
      <w:spacing w:before="100" w:beforeAutospacing="1" w:after="100" w:afterAutospacing="1"/>
      <w:ind w:left="480"/>
    </w:pPr>
  </w:style>
  <w:style w:type="paragraph" w:styleId="postinfo" w:customStyle="1">
    <w:name w:val="postinfo"/>
    <w:basedOn w:val="a"/>
    <w:rPr>
      <w:color w:val="666666"/>
    </w:rPr>
  </w:style>
  <w:style w:type="paragraph" w:styleId="postdate" w:customStyle="1">
    <w:name w:val="postdate"/>
    <w:basedOn w:val="a"/>
    <w:pPr>
      <w:pBdr>
        <w:right w:val="single" w:color="E2E2E2" w:sz="4" w:space="6"/>
      </w:pBdr>
      <w:jc w:val="center"/>
    </w:pPr>
  </w:style>
  <w:style w:type="paragraph" w:styleId="postcontent" w:customStyle="1">
    <w:name w:val="postcontent"/>
    <w:basedOn w:val="a"/>
    <w:pPr>
      <w:pBdr>
        <w:top w:val="single" w:color="E2E2E2" w:sz="4" w:space="0"/>
      </w:pBdr>
      <w:spacing w:before="120" w:after="100" w:afterAutospacing="1" w:line="192" w:lineRule="atLeast"/>
    </w:pPr>
    <w:rPr>
      <w:sz w:val="14"/>
      <w:szCs w:val="14"/>
    </w:rPr>
  </w:style>
  <w:style w:type="paragraph" w:styleId="postcom" w:customStyle="1">
    <w:name w:val="postcom"/>
    <w:basedOn w:val="a"/>
    <w:rPr>
      <w:sz w:val="13"/>
      <w:szCs w:val="13"/>
    </w:rPr>
  </w:style>
  <w:style w:type="paragraph" w:styleId="pagetitle" w:customStyle="1">
    <w:name w:val="pagetitle"/>
    <w:basedOn w:val="a"/>
    <w:pPr>
      <w:spacing w:after="240"/>
    </w:pPr>
    <w:rPr>
      <w:b/>
      <w:bCs/>
      <w:caps/>
      <w:spacing w:val="-12"/>
    </w:rPr>
  </w:style>
  <w:style w:type="paragraph" w:styleId="nav" w:customStyle="1">
    <w:name w:val="nav"/>
    <w:basedOn w:val="a"/>
    <w:pPr>
      <w:spacing w:before="100" w:beforeAutospacing="1" w:after="100" w:afterAutospacing="1"/>
    </w:pPr>
  </w:style>
  <w:style w:type="paragraph" w:styleId="postnote" w:customStyle="1">
    <w:name w:val="postnote"/>
    <w:basedOn w:val="a"/>
  </w:style>
  <w:style w:type="paragraph" w:styleId="comments" w:customStyle="1">
    <w:name w:val="comments"/>
    <w:basedOn w:val="a"/>
    <w:pPr>
      <w:spacing w:before="240" w:after="240"/>
    </w:pPr>
  </w:style>
  <w:style w:type="paragraph" w:styleId="formcorner" w:customStyle="1">
    <w:name w:val="formcorner"/>
    <w:basedOn w:val="a"/>
    <w:pPr>
      <w:spacing w:before="100" w:beforeAutospacing="1" w:after="100" w:afterAutospacing="1"/>
    </w:pPr>
  </w:style>
  <w:style w:type="paragraph" w:styleId="sr" w:customStyle="1">
    <w:name w:val="sr"/>
    <w:basedOn w:val="a"/>
    <w:pPr>
      <w:spacing w:before="100" w:beforeAutospacing="1" w:after="100" w:afterAutospacing="1"/>
      <w:ind w:left="-3024"/>
    </w:pPr>
    <w:rPr>
      <w:color w:val="993300"/>
    </w:rPr>
  </w:style>
  <w:style w:type="paragraph" w:styleId="search" w:customStyle="1">
    <w:name w:val="search"/>
    <w:basedOn w:val="a"/>
    <w:pPr>
      <w:shd w:val="clear" w:color="auto" w:fill="ece2c5"/>
      <w:spacing w:before="100" w:beforeAutospacing="1" w:after="180"/>
    </w:pPr>
  </w:style>
  <w:style w:type="paragraph" w:styleId="searchcorner" w:customStyle="1">
    <w:name w:val="searchcorner"/>
    <w:basedOn w:val="a"/>
    <w:pPr>
      <w:spacing w:before="100" w:beforeAutospacing="1" w:after="100" w:afterAutospacing="1"/>
    </w:pPr>
  </w:style>
  <w:style w:type="paragraph" w:styleId="categories" w:customStyle="1">
    <w:name w:val="categories"/>
    <w:basedOn w:val="a"/>
    <w:pPr>
      <w:shd w:val="clear" w:color="auto" w:fill="fbf4e0"/>
      <w:spacing w:before="100" w:beforeAutospacing="1" w:after="180"/>
    </w:pPr>
  </w:style>
  <w:style w:type="paragraph" w:styleId="categoriescorner" w:customStyle="1">
    <w:name w:val="categoriescorner"/>
    <w:basedOn w:val="a"/>
    <w:pPr>
      <w:spacing w:before="100" w:beforeAutospacing="1" w:after="100" w:afterAutospacing="1"/>
    </w:pPr>
  </w:style>
  <w:style w:type="paragraph" w:styleId="general" w:customStyle="1">
    <w:name w:val="general"/>
    <w:basedOn w:val="a"/>
    <w:pPr>
      <w:shd w:val="clear" w:color="auto" w:fill="fefaf0"/>
      <w:spacing w:before="100" w:beforeAutospacing="1" w:after="180"/>
    </w:pPr>
  </w:style>
  <w:style w:type="paragraph" w:styleId="generalcorner" w:customStyle="1">
    <w:name w:val="generalcorner"/>
    <w:basedOn w:val="a"/>
    <w:pPr>
      <w:spacing w:before="100" w:beforeAutospacing="1" w:after="100" w:afterAutospacing="1"/>
    </w:pPr>
  </w:style>
  <w:style w:type="paragraph" w:styleId="copy" w:customStyle="1">
    <w:name w:val="copy"/>
    <w:basedOn w:val="a"/>
    <w:pPr>
      <w:spacing w:before="100" w:beforeAutospacing="1" w:after="100" w:afterAutospacing="1"/>
    </w:pPr>
  </w:style>
  <w:style w:type="paragraph" w:styleId="footercorner" w:customStyle="1">
    <w:name w:val="footercorner"/>
    <w:basedOn w:val="a"/>
    <w:pPr>
      <w:spacing w:before="100" w:beforeAutospacing="1" w:after="100" w:afterAutospacing="1"/>
    </w:pPr>
  </w:style>
  <w:style w:type="paragraph" w:styleId="wpfp-hide" w:customStyle="1">
    <w:name w:val="wpfp-hide"/>
    <w:basedOn w:val="a"/>
    <w:pPr>
      <w:spacing w:before="100" w:beforeAutospacing="1" w:after="100" w:afterAutospacing="1"/>
    </w:pPr>
    <w:rPr>
      <w:vanish/>
    </w:rPr>
  </w:style>
  <w:style w:type="paragraph" w:styleId="wpfp-img" w:customStyle="1">
    <w:name w:val="wpfp-img"/>
    <w:basedOn w:val="a"/>
    <w:pPr>
      <w:spacing w:before="100" w:beforeAutospacing="1" w:after="100" w:afterAutospacing="1"/>
      <w:ind w:right="24"/>
    </w:pPr>
  </w:style>
  <w:style w:type="paragraph" w:styleId="yarpppromsg" w:customStyle="1">
    <w:name w:val="yarpp_pro_msg"/>
    <w:basedOn w:val="a"/>
    <w:pPr>
      <w:pBdr>
        <w:top w:val="single" w:color="D0D0D0" w:sz="6" w:space="5"/>
        <w:left w:val="single" w:color="D0D0D0" w:sz="6" w:space="24"/>
        <w:bottom w:val="single" w:color="D0D0D0" w:sz="6" w:space="10"/>
        <w:right w:val="single" w:color="D0D0D0" w:sz="6" w:space="24"/>
      </w:pBdr>
      <w:spacing w:before="100" w:beforeAutospacing="1" w:after="100" w:afterAutospacing="1"/>
      <w:jc w:val="both"/>
    </w:pPr>
  </w:style>
  <w:style w:type="paragraph" w:styleId="yarpphelp" w:customStyle="1">
    <w:name w:val="yarpp_help"/>
    <w:basedOn w:val="a"/>
    <w:pPr>
      <w:spacing w:before="100" w:beforeAutospacing="1" w:after="100" w:afterAutospacing="1"/>
    </w:pPr>
  </w:style>
  <w:style w:type="paragraph" w:styleId="yarpphelpmsg" w:customStyle="1">
    <w:name w:val="yarpp_help_msg"/>
    <w:basedOn w:val="a"/>
    <w:pPr>
      <w:pBdr>
        <w:top w:val="single" w:color="D0D0D0" w:sz="4" w:space="6"/>
        <w:left w:val="single" w:color="D0D0D0" w:sz="4" w:space="9"/>
        <w:bottom w:val="single" w:color="D0D0D0" w:sz="4" w:space="6"/>
        <w:right w:val="single" w:color="D0D0D0" w:sz="4" w:space="9"/>
      </w:pBdr>
      <w:shd w:val="clear" w:color="auto" w:fill="ffffff"/>
      <w:spacing w:before="100" w:beforeAutospacing="1" w:after="100" w:afterAutospacing="1"/>
      <w:jc w:val="both"/>
    </w:pPr>
    <w:rPr>
      <w:vanish/>
    </w:rPr>
  </w:style>
  <w:style w:type="paragraph" w:styleId="post-ratings" w:customStyle="1">
    <w:name w:val="post-ratings"/>
    <w:basedOn w:val="a"/>
    <w:pPr>
      <w:spacing w:before="100" w:beforeAutospacing="1" w:after="100" w:afterAutospacing="1"/>
    </w:pPr>
  </w:style>
  <w:style w:type="paragraph" w:styleId="post-ratings-loading" w:customStyle="1">
    <w:name w:val="post-ratings-loading"/>
    <w:basedOn w:val="a"/>
    <w:pPr>
      <w:spacing w:before="100" w:beforeAutospacing="1" w:after="100" w:afterAutospacing="1"/>
    </w:pPr>
    <w:rPr>
      <w:vanish/>
    </w:rPr>
  </w:style>
  <w:style w:type="paragraph" w:styleId="post-ratings-image" w:customStyle="1">
    <w:name w:val="post-ratings-image"/>
    <w:basedOn w:val="a"/>
    <w:pPr>
      <w:spacing w:before="100" w:beforeAutospacing="1" w:after="100" w:afterAutospacing="1"/>
    </w:pPr>
  </w:style>
  <w:style w:type="paragraph" w:styleId="post-ratings-comment-author" w:customStyle="1">
    <w:name w:val="post-ratings-comment-author"/>
    <w:basedOn w:val="a"/>
    <w:pPr>
      <w:spacing w:before="100" w:beforeAutospacing="1" w:after="100" w:afterAutospacing="1"/>
    </w:pPr>
    <w:rPr>
      <w:i/>
      <w:iCs/>
    </w:rPr>
  </w:style>
  <w:style w:type="paragraph" w:styleId="wp-pagenavi" w:customStyle="1">
    <w:name w:val="wp-pagenavi"/>
    <w:basedOn w:val="a"/>
    <w:pPr>
      <w:spacing w:before="100" w:beforeAutospacing="1" w:after="100" w:afterAutospacing="1"/>
    </w:pPr>
  </w:style>
  <w:style w:type="paragraph" w:styleId="ec-stars-wrapper" w:customStyle="1">
    <w:name w:val="ec-stars-wrapper"/>
    <w:basedOn w:val="a"/>
    <w:pPr>
      <w:spacing w:before="100" w:beforeAutospacing="1" w:after="100" w:afterAutospacing="1"/>
    </w:pPr>
    <w:rPr>
      <w:sz w:val="2"/>
      <w:szCs w:val="2"/>
    </w:rPr>
  </w:style>
  <w:style w:type="paragraph" w:styleId="ec-stars-overlay" w:customStyle="1">
    <w:name w:val="ec-stars-overlay"/>
    <w:basedOn w:val="a"/>
    <w:pPr>
      <w:spacing w:before="100" w:beforeAutospacing="1" w:after="100" w:afterAutospacing="1"/>
    </w:pPr>
  </w:style>
  <w:style w:type="paragraph" w:styleId="mark" w:customStyle="1">
    <w:name w:val="mark"/>
    <w:basedOn w:val="a"/>
    <w:pPr>
      <w:spacing w:before="100" w:beforeAutospacing="1" w:after="100" w:afterAutospacing="1"/>
    </w:pPr>
  </w:style>
  <w:style w:type="paragraph" w:styleId="sub-nav" w:customStyle="1">
    <w:name w:val="sub-nav"/>
    <w:basedOn w:val="a"/>
    <w:pPr>
      <w:spacing w:before="100" w:beforeAutospacing="1" w:after="100" w:afterAutospacing="1"/>
    </w:pPr>
  </w:style>
  <w:style w:type="paragraph" w:styleId="triangle" w:customStyle="1">
    <w:name w:val="triangle"/>
    <w:basedOn w:val="a"/>
    <w:pPr>
      <w:pBdr>
        <w:bottom w:val="single" w:color="34495E" w:sz="48" w:space="0"/>
      </w:pBdr>
      <w:spacing w:before="60" w:after="100" w:afterAutospacing="1"/>
    </w:pPr>
  </w:style>
  <w:style w:type="paragraph" w:styleId="yap-reset" w:customStyle="1">
    <w:name w:val="yap-reset"/>
    <w:basedOn w:val="a"/>
  </w:style>
  <w:style w:type="paragraph" w:styleId="yap-list-wrapper" w:customStyle="1">
    <w:name w:val="yap-list-wrapper"/>
    <w:basedOn w:val="a"/>
    <w:pPr>
      <w:pBdr>
        <w:top w:val="single" w:color="000000" w:sz="4" w:space="0"/>
        <w:left w:val="single" w:color="000000" w:sz="4" w:space="0"/>
        <w:bottom w:val="single" w:color="000000" w:sz="4" w:space="0"/>
        <w:right w:val="single" w:color="000000" w:sz="4" w:space="0"/>
      </w:pBdr>
      <w:spacing w:before="100" w:beforeAutospacing="1" w:after="100" w:afterAutospacing="1"/>
    </w:pPr>
  </w:style>
  <w:style w:type="paragraph" w:styleId="yap-age" w:customStyle="1">
    <w:name w:val="yap-age"/>
    <w:basedOn w:val="a"/>
    <w:pPr>
      <w:pBdr>
        <w:top w:val="single" w:color="DDDCDA" w:sz="4" w:space="0"/>
        <w:left w:val="single" w:color="DDDCDA" w:sz="4" w:space="0"/>
        <w:bottom w:val="single" w:color="DDDCDA" w:sz="4" w:space="0"/>
        <w:right w:val="single" w:color="DDDCDA" w:sz="4" w:space="0"/>
      </w:pBdr>
      <w:spacing w:after="100" w:afterAutospacing="1"/>
      <w:ind w:left="55"/>
      <w:jc w:val="center"/>
    </w:pPr>
    <w:rPr>
      <w:sz w:val="17"/>
      <w:szCs w:val="17"/>
    </w:rPr>
  </w:style>
  <w:style w:type="paragraph" w:styleId="yap-warning-content" w:customStyle="1">
    <w:name w:val="yap-warning-content"/>
    <w:basedOn w:val="a"/>
    <w:pPr>
      <w:pBdr>
        <w:top w:val="single" w:color="DDDCDA" w:sz="4" w:space="0"/>
        <w:left w:val="single" w:color="DDDCDA" w:sz="4" w:space="0"/>
        <w:bottom w:val="single" w:color="DDDCDA" w:sz="4" w:space="0"/>
        <w:right w:val="single" w:color="DDDCDA" w:sz="4" w:space="0"/>
      </w:pBdr>
      <w:spacing w:before="100" w:beforeAutospacing="1" w:after="100" w:afterAutospacing="1"/>
    </w:pPr>
    <w:rPr>
      <w:sz w:val="17"/>
      <w:szCs w:val="17"/>
    </w:rPr>
  </w:style>
  <w:style w:type="paragraph" w:styleId="b-share-popup-wrap" w:customStyle="1">
    <w:name w:val="b-share-popup-wrap"/>
    <w:basedOn w:val="a"/>
    <w:pPr>
      <w:spacing w:before="100" w:beforeAutospacing="1" w:after="100" w:afterAutospacing="1"/>
    </w:pPr>
  </w:style>
  <w:style w:type="paragraph" w:styleId="b-share-popup" w:customStyle="1">
    <w:name w:val="b-share-popup"/>
    <w:basedOn w:val="a"/>
    <w:pPr>
      <w:pBdr>
        <w:top w:val="single" w:color="888888" w:sz="4" w:space="0"/>
        <w:left w:val="single" w:color="888888" w:sz="4" w:space="0"/>
        <w:bottom w:val="single" w:color="888888" w:sz="4" w:space="0"/>
        <w:right w:val="single" w:color="888888" w:sz="4" w:space="0"/>
      </w:pBdr>
      <w:shd w:val="clear" w:color="auto" w:fill="ffffff"/>
      <w:spacing w:before="100" w:beforeAutospacing="1" w:after="100" w:afterAutospacing="1"/>
    </w:pPr>
    <w:rPr>
      <w:color w:val="000000"/>
    </w:rPr>
  </w:style>
  <w:style w:type="paragraph" w:styleId="b-share-popupi" w:customStyle="1">
    <w:name w:val="b-share-popup__i"/>
    <w:basedOn w:val="a"/>
    <w:pPr>
      <w:shd w:val="clear" w:color="auto" w:fill="ffffff"/>
      <w:spacing w:before="100" w:beforeAutospacing="1" w:after="100" w:afterAutospacing="1"/>
    </w:pPr>
  </w:style>
  <w:style w:type="paragraph" w:styleId="b-share-popupitem" w:customStyle="1">
    <w:name w:val="b-share-popup__item"/>
    <w:basedOn w:val="a"/>
    <w:pPr>
      <w:shd w:val="clear" w:color="auto" w:fill="ffffff"/>
      <w:spacing w:before="100" w:beforeAutospacing="1" w:after="100" w:afterAutospacing="1" w:line="300" w:lineRule="atLeast"/>
    </w:pPr>
    <w:rPr>
      <w:rFonts w:ascii="Arial" w:hAnsi="Arial" w:cs="Arial"/>
    </w:rPr>
  </w:style>
  <w:style w:type="paragraph" w:styleId="b-share-popupicon" w:customStyle="1">
    <w:name w:val="b-share-popup__icon"/>
    <w:basedOn w:val="a"/>
  </w:style>
  <w:style w:type="paragraph" w:styleId="b-share-popupiconinput" w:customStyle="1">
    <w:name w:val="b-share-popup__icon_input"/>
    <w:basedOn w:val="a"/>
    <w:pPr>
      <w:spacing w:after="100" w:afterAutospacing="1"/>
    </w:pPr>
  </w:style>
  <w:style w:type="paragraph" w:styleId="b-share-popupiconinput0" w:customStyle="1">
    <w:name w:val="b-share-popup__icon__input"/>
    <w:basedOn w:val="a"/>
    <w:pPr>
      <w:spacing w:before="100" w:beforeAutospacing="1" w:after="100" w:afterAutospacing="1"/>
      <w:ind w:left="24"/>
    </w:pPr>
  </w:style>
  <w:style w:type="paragraph" w:styleId="b-share-popupspacer" w:customStyle="1">
    <w:name w:val="b-share-popup__spacer"/>
    <w:basedOn w:val="a"/>
    <w:pPr>
      <w:spacing w:before="100" w:beforeAutospacing="1" w:after="100" w:afterAutospacing="1"/>
    </w:pPr>
  </w:style>
  <w:style w:type="paragraph" w:styleId="b-share-popupheader" w:customStyle="1">
    <w:name w:val="b-share-popup__header"/>
    <w:basedOn w:val="a"/>
    <w:pPr>
      <w:spacing w:before="100" w:beforeAutospacing="1" w:after="100" w:afterAutospacing="1" w:line="240" w:lineRule="atLeast"/>
    </w:pPr>
    <w:rPr>
      <w:rFonts w:ascii="Verdana" w:hAnsi="Verdana" w:cs="Verdana"/>
      <w:color w:val="999999"/>
      <w:sz w:val="21"/>
      <w:szCs w:val="21"/>
    </w:rPr>
  </w:style>
  <w:style w:type="paragraph" w:styleId="b-share-popupinput" w:customStyle="1">
    <w:name w:val="b-share-popup__input"/>
    <w:basedOn w:val="a"/>
    <w:pPr>
      <w:spacing w:before="100" w:beforeAutospacing="1" w:after="100" w:afterAutospacing="1" w:line="240" w:lineRule="atLeast"/>
    </w:pPr>
    <w:rPr>
      <w:rFonts w:ascii="Verdana" w:hAnsi="Verdana" w:cs="Verdana"/>
      <w:color w:val="999999"/>
      <w:sz w:val="21"/>
      <w:szCs w:val="21"/>
    </w:rPr>
  </w:style>
  <w:style w:type="paragraph" w:styleId="b-share-popupinputinput" w:customStyle="1">
    <w:name w:val="b-share-popup__input__input"/>
    <w:basedOn w:val="a"/>
    <w:pPr>
      <w:spacing w:before="60" w:line="240" w:lineRule="atLeast"/>
    </w:pPr>
    <w:rPr>
      <w:rFonts w:ascii="Verdana" w:hAnsi="Verdana" w:cs="Verdana"/>
    </w:rPr>
  </w:style>
  <w:style w:type="paragraph" w:styleId="b-share-popupyandex" w:customStyle="1">
    <w:name w:val="b-share-popup__yandex"/>
    <w:basedOn w:val="a"/>
    <w:pPr>
      <w:spacing w:before="100" w:beforeAutospacing="1" w:after="100" w:afterAutospacing="1" w:line="240" w:lineRule="atLeast"/>
    </w:pPr>
    <w:rPr>
      <w:rFonts w:ascii="Verdana" w:hAnsi="Verdana" w:cs="Verdana"/>
      <w:sz w:val="19"/>
      <w:szCs w:val="19"/>
    </w:rPr>
  </w:style>
  <w:style w:type="paragraph" w:styleId="b-share-popupto-right" w:customStyle="1">
    <w:name w:val="b-share-popup_to-right"/>
    <w:basedOn w:val="a"/>
    <w:pPr>
      <w:spacing w:before="100" w:beforeAutospacing="1" w:after="100" w:afterAutospacing="1"/>
      <w:jc w:val="right"/>
    </w:pPr>
  </w:style>
  <w:style w:type="paragraph" w:styleId="b-icoactionrarr" w:customStyle="1">
    <w:name w:val="b-ico_action_rarr"/>
    <w:basedOn w:val="a"/>
    <w:pPr>
      <w:spacing w:before="100" w:beforeAutospacing="1" w:after="100" w:afterAutospacing="1"/>
    </w:pPr>
  </w:style>
  <w:style w:type="paragraph" w:styleId="b-icoactionlarr" w:customStyle="1">
    <w:name w:val="b-ico_action_larr"/>
    <w:basedOn w:val="a"/>
    <w:pPr>
      <w:spacing w:before="100" w:beforeAutospacing="1" w:after="100" w:afterAutospacing="1"/>
    </w:pPr>
  </w:style>
  <w:style w:type="paragraph" w:styleId="b-share-popupmain" w:customStyle="1">
    <w:name w:val="b-share-popup__main"/>
    <w:basedOn w:val="a"/>
    <w:pPr>
      <w:spacing w:before="100" w:beforeAutospacing="1" w:after="100" w:afterAutospacing="1"/>
    </w:pPr>
  </w:style>
  <w:style w:type="paragraph" w:styleId="b-share-popupextra" w:customStyle="1">
    <w:name w:val="b-share-popup__extra"/>
    <w:basedOn w:val="a"/>
    <w:pPr>
      <w:ind w:right="-120"/>
    </w:pPr>
    <w:rPr>
      <w:vanish/>
    </w:rPr>
  </w:style>
  <w:style w:type="paragraph" w:styleId="b-share-popuptail" w:customStyle="1">
    <w:name w:val="b-share-popup__tail"/>
    <w:basedOn w:val="a"/>
    <w:pPr>
      <w:ind w:left="-132"/>
    </w:pPr>
  </w:style>
  <w:style w:type="paragraph" w:styleId="b-share-popupform" w:customStyle="1">
    <w:name w:val="b-share-popup__form"/>
    <w:basedOn w:val="a"/>
    <w:rPr>
      <w:vanish/>
    </w:rPr>
  </w:style>
  <w:style w:type="paragraph" w:styleId="b-share-popupformlink" w:customStyle="1">
    <w:name w:val="b-share-popup__form__link"/>
    <w:basedOn w:val="a"/>
    <w:pPr>
      <w:spacing w:after="60" w:line="348" w:lineRule="atLeast"/>
      <w:ind w:left="120"/>
    </w:pPr>
    <w:rPr>
      <w:rFonts w:ascii="Verdana" w:hAnsi="Verdana" w:cs="Verdana"/>
      <w:color w:val="1a3dc1"/>
      <w:sz w:val="21"/>
      <w:szCs w:val="21"/>
      <w:u w:val="single"/>
    </w:rPr>
  </w:style>
  <w:style w:type="paragraph" w:styleId="b-share-popupformbutton" w:customStyle="1">
    <w:name w:val="b-share-popup__form__button"/>
    <w:basedOn w:val="a"/>
    <w:pPr>
      <w:spacing w:before="60" w:line="348" w:lineRule="atLeast"/>
      <w:ind w:left="180"/>
    </w:pPr>
    <w:rPr>
      <w:rFonts w:ascii="Verdana" w:hAnsi="Verdana" w:cs="Verdana"/>
      <w:sz w:val="21"/>
      <w:szCs w:val="21"/>
    </w:rPr>
  </w:style>
  <w:style w:type="paragraph" w:styleId="b-share-popupformclose" w:customStyle="1">
    <w:name w:val="b-share-popup__form__close"/>
    <w:basedOn w:val="a"/>
    <w:pPr>
      <w:spacing w:after="60" w:line="348" w:lineRule="atLeast"/>
      <w:ind w:right="120"/>
    </w:pPr>
    <w:rPr>
      <w:rFonts w:ascii="Verdana" w:hAnsi="Verdana" w:cs="Verdana"/>
      <w:color w:val="999999"/>
      <w:sz w:val="21"/>
      <w:szCs w:val="21"/>
    </w:rPr>
  </w:style>
  <w:style w:type="paragraph" w:styleId="b-share-form-button" w:customStyle="1">
    <w:name w:val="b-share-form-button"/>
    <w:basedOn w:val="a"/>
    <w:pPr>
      <w:spacing w:line="204" w:lineRule="atLeast"/>
      <w:ind w:left="36" w:right="36"/>
    </w:pPr>
    <w:rPr>
      <w:rFonts w:ascii="Verdana" w:hAnsi="Verdana" w:cs="Verdana"/>
      <w:color w:val="000000"/>
      <w:sz w:val="21"/>
      <w:szCs w:val="21"/>
    </w:rPr>
  </w:style>
  <w:style w:type="paragraph" w:styleId="b-share-form-buttonbefore" w:customStyle="1">
    <w:name w:val="b-share-form-button__before"/>
    <w:basedOn w:val="a"/>
    <w:pPr>
      <w:spacing w:before="100" w:beforeAutospacing="1" w:after="100" w:afterAutospacing="1"/>
      <w:ind w:left="-84"/>
    </w:pPr>
  </w:style>
  <w:style w:type="paragraph" w:styleId="b-share-form-buttonafter" w:customStyle="1">
    <w:name w:val="b-share-form-button__after"/>
    <w:basedOn w:val="a"/>
    <w:pPr>
      <w:spacing w:before="100" w:beforeAutospacing="1" w:after="100" w:afterAutospacing="1"/>
      <w:ind w:left="48"/>
    </w:pPr>
  </w:style>
  <w:style w:type="paragraph" w:styleId="b-share-form-buttonicons" w:customStyle="1">
    <w:name w:val="b-share-form-button_icons"/>
    <w:basedOn w:val="a"/>
    <w:pPr>
      <w:spacing w:before="100" w:beforeAutospacing="1" w:after="100" w:afterAutospacing="1"/>
    </w:pPr>
  </w:style>
  <w:style w:type="paragraph" w:styleId="b-share" w:customStyle="1">
    <w:name w:val="b-share"/>
    <w:basedOn w:val="a"/>
    <w:pPr>
      <w:spacing w:before="100" w:beforeAutospacing="1" w:after="100" w:afterAutospacing="1" w:line="348" w:lineRule="atLeast"/>
    </w:pPr>
    <w:rPr>
      <w:rFonts w:ascii="Arial" w:hAnsi="Arial" w:cs="Arial"/>
      <w:sz w:val="21"/>
      <w:szCs w:val="21"/>
    </w:rPr>
  </w:style>
  <w:style w:type="paragraph" w:styleId="b-sharetext" w:customStyle="1">
    <w:name w:val="b-share__text"/>
    <w:basedOn w:val="a"/>
    <w:pPr>
      <w:spacing w:before="100" w:beforeAutospacing="1" w:after="100" w:afterAutospacing="1"/>
      <w:ind w:right="60"/>
    </w:pPr>
  </w:style>
  <w:style w:type="paragraph" w:styleId="b-sharehandle" w:customStyle="1">
    <w:name w:val="b-share__handle"/>
    <w:basedOn w:val="a"/>
    <w:pPr>
      <w:spacing w:before="100" w:beforeAutospacing="1" w:after="100" w:afterAutospacing="1"/>
    </w:pPr>
  </w:style>
  <w:style w:type="paragraph" w:styleId="b-sharehr" w:customStyle="1">
    <w:name w:val="b-share__hr"/>
    <w:basedOn w:val="a"/>
    <w:pPr>
      <w:ind w:left="24" w:right="36"/>
    </w:pPr>
    <w:rPr>
      <w:vanish/>
    </w:rPr>
  </w:style>
  <w:style w:type="paragraph" w:styleId="b-sharebordered" w:customStyle="1">
    <w:name w:val="b-share_bordered"/>
    <w:basedOn w:val="a"/>
    <w:pPr>
      <w:pBdr>
        <w:top w:val="single" w:color="E4E4E4" w:sz="4" w:space="0"/>
        <w:left w:val="single" w:color="E4E4E4" w:sz="4" w:space="0"/>
        <w:bottom w:val="single" w:color="E4E4E4" w:sz="4" w:space="0"/>
        <w:right w:val="single" w:color="E4E4E4" w:sz="4" w:space="0"/>
      </w:pBdr>
      <w:spacing w:before="100" w:beforeAutospacing="1" w:after="100" w:afterAutospacing="1"/>
    </w:pPr>
  </w:style>
  <w:style w:type="paragraph" w:styleId="b-sharelink" w:customStyle="1">
    <w:name w:val="b-share_link"/>
    <w:basedOn w:val="a"/>
  </w:style>
  <w:style w:type="paragraph" w:styleId="b-share-form-buttonshare" w:customStyle="1">
    <w:name w:val="b-share-form-button_share"/>
    <w:basedOn w:val="a"/>
    <w:pPr>
      <w:spacing w:before="100" w:beforeAutospacing="1" w:after="100" w:afterAutospacing="1"/>
    </w:pPr>
  </w:style>
  <w:style w:type="paragraph" w:styleId="b-share-pseudo-link" w:customStyle="1">
    <w:name w:val="b-share-pseudo-link"/>
    <w:basedOn w:val="a"/>
    <w:pPr>
      <w:pBdr>
        <w:bottom w:val="single" w:color="000000" w:sz="4" w:space="0"/>
      </w:pBdr>
      <w:spacing w:before="100" w:beforeAutospacing="1" w:after="100" w:afterAutospacing="1"/>
    </w:pPr>
  </w:style>
  <w:style w:type="paragraph" w:styleId="b-sharefontfixed" w:customStyle="1">
    <w:name w:val="b-share_font_fixed"/>
    <w:basedOn w:val="a"/>
    <w:pPr>
      <w:spacing w:before="100" w:beforeAutospacing="1" w:after="100" w:afterAutospacing="1"/>
    </w:pPr>
    <w:rPr>
      <w:sz w:val="13"/>
      <w:szCs w:val="13"/>
    </w:rPr>
  </w:style>
  <w:style w:type="paragraph" w:styleId="b-sharehandlemore" w:customStyle="1">
    <w:name w:val="b-share__handle_more"/>
    <w:basedOn w:val="a"/>
    <w:pPr>
      <w:spacing w:after="100" w:afterAutospacing="1"/>
    </w:pPr>
    <w:rPr>
      <w:color w:val="7b7b7b"/>
      <w:sz w:val="11"/>
      <w:szCs w:val="11"/>
    </w:rPr>
  </w:style>
  <w:style w:type="paragraph" w:styleId="b-share-icon" w:customStyle="1">
    <w:name w:val="b-share-icon"/>
    <w:basedOn w:val="a"/>
    <w:pPr>
      <w:spacing w:before="100" w:beforeAutospacing="1" w:after="100" w:afterAutospacing="1"/>
    </w:pPr>
  </w:style>
  <w:style w:type="paragraph" w:styleId="b-share-iconrenren" w:customStyle="1">
    <w:name w:val="b-share-icon_renren"/>
    <w:basedOn w:val="a"/>
    <w:pPr>
      <w:spacing w:before="100" w:beforeAutospacing="1" w:after="100" w:afterAutospacing="1"/>
    </w:pPr>
  </w:style>
  <w:style w:type="paragraph" w:styleId="b-share-iconsinaweibo" w:customStyle="1">
    <w:name w:val="b-share-icon_sina_weibo"/>
    <w:basedOn w:val="a"/>
    <w:pPr>
      <w:spacing w:before="100" w:beforeAutospacing="1" w:after="100" w:afterAutospacing="1"/>
    </w:pPr>
  </w:style>
  <w:style w:type="paragraph" w:styleId="b-share-iconqzone" w:customStyle="1">
    <w:name w:val="b-share-icon_qzone"/>
    <w:basedOn w:val="a"/>
    <w:pPr>
      <w:spacing w:before="100" w:beforeAutospacing="1" w:after="100" w:afterAutospacing="1"/>
    </w:pPr>
  </w:style>
  <w:style w:type="paragraph" w:styleId="b-share-icontencentweibo" w:customStyle="1">
    <w:name w:val="b-share-icon_tencent_weibo"/>
    <w:basedOn w:val="a"/>
    <w:pPr>
      <w:spacing w:before="100" w:beforeAutospacing="1" w:after="100" w:afterAutospacing="1"/>
    </w:pPr>
  </w:style>
  <w:style w:type="paragraph" w:styleId="b-share-counter" w:customStyle="1">
    <w:name w:val="b-share-counter"/>
    <w:basedOn w:val="a"/>
    <w:pPr>
      <w:spacing w:before="36" w:after="36" w:line="216" w:lineRule="atLeast"/>
      <w:ind w:left="36" w:right="72"/>
    </w:pPr>
    <w:rPr>
      <w:rFonts w:ascii="Arial" w:hAnsi="Arial" w:cs="Arial"/>
      <w:vanish/>
      <w:color w:val="ffffff"/>
      <w:sz w:val="17"/>
      <w:szCs w:val="17"/>
    </w:rPr>
  </w:style>
  <w:style w:type="paragraph" w:styleId="b-share-btncounter" w:customStyle="1">
    <w:name w:val="b-share-btn__counter"/>
    <w:basedOn w:val="a"/>
    <w:pPr>
      <w:spacing w:before="100" w:beforeAutospacing="1" w:after="100" w:afterAutospacing="1"/>
    </w:pPr>
  </w:style>
  <w:style w:type="paragraph" w:styleId="month" w:customStyle="1">
    <w:name w:val="month"/>
    <w:basedOn w:val="a"/>
    <w:pPr>
      <w:spacing w:before="100" w:beforeAutospacing="1" w:after="100" w:afterAutospacing="1"/>
    </w:pPr>
  </w:style>
  <w:style w:type="paragraph" w:styleId="day" w:customStyle="1">
    <w:name w:val="day"/>
    <w:basedOn w:val="a"/>
    <w:pPr>
      <w:spacing w:before="100" w:beforeAutospacing="1" w:after="100" w:afterAutospacing="1"/>
    </w:pPr>
  </w:style>
  <w:style w:type="paragraph" w:styleId="prev" w:customStyle="1">
    <w:name w:val="prev"/>
    <w:basedOn w:val="a"/>
    <w:pPr>
      <w:spacing w:before="100" w:beforeAutospacing="1" w:after="100" w:afterAutospacing="1"/>
    </w:pPr>
  </w:style>
  <w:style w:type="paragraph" w:styleId="next" w:customStyle="1">
    <w:name w:val="next"/>
    <w:basedOn w:val="a"/>
    <w:pPr>
      <w:spacing w:before="100" w:beforeAutospacing="1" w:after="100" w:afterAutospacing="1"/>
    </w:pPr>
  </w:style>
  <w:style w:type="paragraph" w:styleId="trackback" w:customStyle="1">
    <w:name w:val="trackback"/>
    <w:basedOn w:val="a"/>
    <w:pPr>
      <w:spacing w:before="100" w:beforeAutospacing="1" w:after="100" w:afterAutospacing="1"/>
    </w:pPr>
  </w:style>
  <w:style w:type="paragraph" w:styleId="rss" w:customStyle="1">
    <w:name w:val="rss"/>
    <w:basedOn w:val="a"/>
    <w:pPr>
      <w:spacing w:before="100" w:beforeAutospacing="1" w:after="100" w:afterAutospacing="1"/>
    </w:pPr>
  </w:style>
  <w:style w:type="paragraph" w:styleId="listuser" w:customStyle="1">
    <w:name w:val="listuser"/>
    <w:basedOn w:val="a"/>
    <w:pPr>
      <w:spacing w:before="100" w:beforeAutospacing="1" w:after="100" w:afterAutospacing="1"/>
    </w:pPr>
  </w:style>
  <w:style w:type="paragraph" w:styleId="listnr" w:customStyle="1">
    <w:name w:val="listnr"/>
    <w:basedOn w:val="a"/>
    <w:pPr>
      <w:spacing w:before="100" w:beforeAutospacing="1" w:after="100" w:afterAutospacing="1"/>
    </w:pPr>
  </w:style>
  <w:style w:type="paragraph" w:styleId="listdate" w:customStyle="1">
    <w:name w:val="listdate"/>
    <w:basedOn w:val="a"/>
    <w:pPr>
      <w:spacing w:before="100" w:beforeAutospacing="1" w:after="100" w:afterAutospacing="1"/>
    </w:pPr>
  </w:style>
  <w:style w:type="paragraph" w:styleId="listcontent" w:customStyle="1">
    <w:name w:val="listcontent"/>
    <w:basedOn w:val="a"/>
    <w:pPr>
      <w:spacing w:before="100" w:beforeAutospacing="1" w:after="100" w:afterAutospacing="1"/>
    </w:pPr>
  </w:style>
  <w:style w:type="paragraph" w:styleId="textfield" w:customStyle="1">
    <w:name w:val="textfield"/>
    <w:basedOn w:val="a"/>
    <w:pPr>
      <w:spacing w:before="100" w:beforeAutospacing="1" w:after="100" w:afterAutospacing="1"/>
    </w:pPr>
  </w:style>
  <w:style w:type="paragraph" w:styleId="textarea" w:customStyle="1">
    <w:name w:val="textarea"/>
    <w:basedOn w:val="a"/>
    <w:pPr>
      <w:spacing w:before="100" w:beforeAutospacing="1" w:after="100" w:afterAutospacing="1"/>
    </w:pPr>
  </w:style>
  <w:style w:type="paragraph" w:styleId="relatedposttitle" w:customStyle="1">
    <w:name w:val="related_post_title"/>
    <w:basedOn w:val="a"/>
    <w:pPr>
      <w:spacing w:before="100" w:beforeAutospacing="1" w:after="100" w:afterAutospacing="1"/>
    </w:pPr>
  </w:style>
  <w:style w:type="paragraph" w:styleId="yap-item" w:customStyle="1">
    <w:name w:val="yap-item"/>
    <w:basedOn w:val="a"/>
    <w:pPr>
      <w:spacing w:before="100" w:beforeAutospacing="1" w:after="100" w:afterAutospacing="1"/>
    </w:pPr>
  </w:style>
  <w:style w:type="paragraph" w:styleId="b-share-popupexpander" w:customStyle="1">
    <w:name w:val="b-share-popup__expander"/>
    <w:basedOn w:val="a"/>
    <w:pPr>
      <w:spacing w:before="100" w:beforeAutospacing="1" w:after="100" w:afterAutospacing="1"/>
    </w:pPr>
  </w:style>
  <w:style w:type="paragraph" w:styleId="b-share-popupitemtextcollapse" w:customStyle="1">
    <w:name w:val="b-share-popup__item__text_collapse"/>
    <w:basedOn w:val="a"/>
    <w:pPr>
      <w:spacing w:before="100" w:beforeAutospacing="1" w:after="100" w:afterAutospacing="1"/>
    </w:pPr>
  </w:style>
  <w:style w:type="paragraph" w:styleId="b-share-popupitemtextexpand" w:customStyle="1">
    <w:name w:val="b-share-popup__item__text_expand"/>
    <w:basedOn w:val="a"/>
    <w:pPr>
      <w:spacing w:before="100" w:beforeAutospacing="1" w:after="100" w:afterAutospacing="1"/>
    </w:pPr>
  </w:style>
  <w:style w:type="paragraph" w:styleId="b-share-popupinputlink" w:customStyle="1">
    <w:name w:val="b-share-popup__input_link"/>
    <w:basedOn w:val="a"/>
    <w:pPr>
      <w:spacing w:before="100" w:beforeAutospacing="1" w:after="100" w:afterAutospacing="1"/>
    </w:pPr>
  </w:style>
  <w:style w:type="paragraph" w:styleId="b-share-popupformmail" w:customStyle="1">
    <w:name w:val="b-share-popup__form_mail"/>
    <w:basedOn w:val="a"/>
    <w:pPr>
      <w:spacing w:before="100" w:beforeAutospacing="1" w:after="100" w:afterAutospacing="1"/>
    </w:pPr>
  </w:style>
  <w:style w:type="paragraph" w:styleId="b-share-popupformhtml" w:customStyle="1">
    <w:name w:val="b-share-popup__form_html"/>
    <w:basedOn w:val="a"/>
    <w:pPr>
      <w:spacing w:before="100" w:beforeAutospacing="1" w:after="100" w:afterAutospacing="1"/>
    </w:pPr>
  </w:style>
  <w:style w:type="paragraph" w:styleId="b-share-form-buttonicon" w:customStyle="1">
    <w:name w:val="b-share-form-button__icon"/>
    <w:basedOn w:val="a"/>
    <w:pPr>
      <w:spacing w:before="100" w:beforeAutospacing="1" w:after="100" w:afterAutospacing="1"/>
    </w:pPr>
  </w:style>
  <w:style w:type="paragraph" w:styleId="b-share-btnwrap" w:customStyle="1">
    <w:name w:val="b-share-btn__wrap"/>
    <w:basedOn w:val="a"/>
    <w:pPr>
      <w:spacing w:before="100" w:beforeAutospacing="1" w:after="100" w:afterAutospacing="1"/>
    </w:pPr>
  </w:style>
  <w:style w:type="paragraph" w:styleId="b-share-btnfacebook" w:customStyle="1">
    <w:name w:val="b-share-btn__facebook"/>
    <w:basedOn w:val="a"/>
    <w:pPr>
      <w:spacing w:before="100" w:beforeAutospacing="1" w:after="100" w:afterAutospacing="1"/>
    </w:pPr>
  </w:style>
  <w:style w:type="paragraph" w:styleId="b-share-btnmoimir" w:customStyle="1">
    <w:name w:val="b-share-btn__moimir"/>
    <w:basedOn w:val="a"/>
    <w:pPr>
      <w:spacing w:before="100" w:beforeAutospacing="1" w:after="100" w:afterAutospacing="1"/>
    </w:pPr>
  </w:style>
  <w:style w:type="paragraph" w:styleId="b-share-btnvkontakte" w:customStyle="1">
    <w:name w:val="b-share-btn__vkontakte"/>
    <w:basedOn w:val="a"/>
    <w:pPr>
      <w:spacing w:before="100" w:beforeAutospacing="1" w:after="100" w:afterAutospacing="1"/>
    </w:pPr>
  </w:style>
  <w:style w:type="paragraph" w:styleId="b-share-btntwitter" w:customStyle="1">
    <w:name w:val="b-share-btn__twitter"/>
    <w:basedOn w:val="a"/>
    <w:pPr>
      <w:spacing w:before="100" w:beforeAutospacing="1" w:after="100" w:afterAutospacing="1"/>
    </w:pPr>
  </w:style>
  <w:style w:type="paragraph" w:styleId="b-share-btnodnoklassniki" w:customStyle="1">
    <w:name w:val="b-share-btn__odnoklassniki"/>
    <w:basedOn w:val="a"/>
    <w:pPr>
      <w:spacing w:before="100" w:beforeAutospacing="1" w:after="100" w:afterAutospacing="1"/>
    </w:pPr>
  </w:style>
  <w:style w:type="paragraph" w:styleId="b-share-btngplus" w:customStyle="1">
    <w:name w:val="b-share-btn__gplus"/>
    <w:basedOn w:val="a"/>
    <w:pPr>
      <w:spacing w:before="100" w:beforeAutospacing="1" w:after="100" w:afterAutospacing="1"/>
    </w:pPr>
  </w:style>
  <w:style w:type="paragraph" w:styleId="b-share-btnyaru" w:customStyle="1">
    <w:name w:val="b-share-btn__yaru"/>
    <w:basedOn w:val="a"/>
    <w:pPr>
      <w:spacing w:before="100" w:beforeAutospacing="1" w:after="100" w:afterAutospacing="1"/>
    </w:pPr>
  </w:style>
  <w:style w:type="paragraph" w:styleId="b-share-btnpinterest" w:customStyle="1">
    <w:name w:val="b-share-btn__pinterest"/>
    <w:basedOn w:val="a"/>
    <w:pPr>
      <w:spacing w:before="100" w:beforeAutospacing="1" w:after="100" w:afterAutospacing="1"/>
    </w:pPr>
  </w:style>
  <w:style w:type="paragraph" w:styleId="b-share-popupitemtext" w:customStyle="1">
    <w:name w:val="b-share-popup__item__text"/>
    <w:basedOn w:val="a"/>
    <w:pPr>
      <w:spacing w:before="100" w:beforeAutospacing="1" w:after="100" w:afterAutospacing="1"/>
    </w:pPr>
  </w:style>
  <w:style w:type="paragraph" w:styleId="yap-logo-bg-color" w:customStyle="1">
    <w:name w:val="yap-logo-bg-color"/>
    <w:basedOn w:val="a"/>
    <w:pPr>
      <w:spacing w:before="100" w:beforeAutospacing="1" w:after="100" w:afterAutospacing="1"/>
    </w:pPr>
  </w:style>
  <w:style w:type="paragraph" w:styleId="sctblock71123title" w:customStyle="1">
    <w:name w:val="sc_tblock_71123_title"/>
    <w:basedOn w:val="a"/>
    <w:pPr>
      <w:spacing w:before="100" w:beforeAutospacing="1" w:after="100" w:afterAutospacing="1"/>
    </w:pPr>
  </w:style>
  <w:style w:type="paragraph" w:styleId="sctblock71123title-hover" w:customStyle="1">
    <w:name w:val="sc_tblock_71123_title-hover"/>
    <w:basedOn w:val="a"/>
    <w:pPr>
      <w:spacing w:before="100" w:beforeAutospacing="1" w:after="100" w:afterAutospacing="1"/>
    </w:pPr>
  </w:style>
  <w:style w:type="paragraph" w:styleId="yap-list" w:customStyle="1">
    <w:name w:val="yap-list"/>
    <w:basedOn w:val="a"/>
    <w:pPr>
      <w:spacing w:before="100" w:beforeAutospacing="1" w:after="100" w:afterAutospacing="1"/>
    </w:pPr>
  </w:style>
  <w:style w:type="paragraph" w:styleId="yap-item-inner" w:customStyle="1">
    <w:name w:val="yap-item-inner"/>
    <w:basedOn w:val="a"/>
    <w:pPr>
      <w:spacing w:before="100" w:beforeAutospacing="1" w:after="100" w:afterAutospacing="1"/>
    </w:pPr>
  </w:style>
  <w:style w:type="paragraph" w:styleId="yap-title" w:customStyle="1">
    <w:name w:val="yap-title"/>
    <w:basedOn w:val="a"/>
    <w:pPr>
      <w:spacing w:before="100" w:beforeAutospacing="1" w:after="100" w:afterAutospacing="1"/>
    </w:pPr>
  </w:style>
  <w:style w:type="paragraph" w:styleId="yap-logo" w:customStyle="1">
    <w:name w:val="yap-logo"/>
    <w:basedOn w:val="a"/>
    <w:pPr>
      <w:spacing w:before="100" w:beforeAutospacing="1" w:after="100" w:afterAutospacing="1"/>
    </w:pPr>
    <w:rPr>
      <w:rFonts w:ascii="Arial" w:hAnsi="Arial" w:cs="Arial"/>
    </w:rPr>
  </w:style>
  <w:style w:type="paragraph" w:styleId="yap-picture-block" w:customStyle="1">
    <w:name w:val="yap-picture-block"/>
    <w:basedOn w:val="a"/>
    <w:pPr>
      <w:spacing w:before="100" w:beforeAutospacing="1" w:after="100" w:afterAutospacing="1"/>
    </w:pPr>
  </w:style>
  <w:style w:type="paragraph" w:styleId="yap-title-block" w:customStyle="1">
    <w:name w:val="yap-title-block"/>
    <w:basedOn w:val="a"/>
    <w:pPr>
      <w:spacing w:before="100" w:beforeAutospacing="1" w:after="100" w:afterAutospacing="1"/>
    </w:pPr>
  </w:style>
  <w:style w:type="paragraph" w:styleId="yap-nobr" w:customStyle="1">
    <w:name w:val="yap-nobr"/>
    <w:basedOn w:val="a"/>
    <w:pPr>
      <w:spacing w:before="100" w:beforeAutospacing="1" w:after="100" w:afterAutospacing="1"/>
    </w:pPr>
  </w:style>
  <w:style w:type="paragraph" w:styleId="yap-sitelinks" w:customStyle="1">
    <w:name w:val="yap-sitelinks"/>
    <w:basedOn w:val="a"/>
    <w:pPr>
      <w:spacing w:before="100" w:beforeAutospacing="1" w:after="100" w:afterAutospacing="1"/>
    </w:pPr>
  </w:style>
  <w:style w:type="paragraph" w:styleId="yap-sitelink" w:customStyle="1">
    <w:name w:val="yap-sitelink"/>
    <w:basedOn w:val="a"/>
    <w:pPr>
      <w:spacing w:before="100" w:beforeAutospacing="1" w:after="100" w:afterAutospacing="1"/>
    </w:pPr>
  </w:style>
  <w:style w:type="paragraph" w:styleId="yap-sitelink-delim" w:customStyle="1">
    <w:name w:val="yap-sitelink-delim"/>
    <w:basedOn w:val="a"/>
    <w:pPr>
      <w:spacing w:before="100" w:beforeAutospacing="1" w:after="100" w:afterAutospacing="1"/>
    </w:pPr>
  </w:style>
  <w:style w:type="paragraph" w:styleId="yap-contacts" w:customStyle="1">
    <w:name w:val="yap-contacts"/>
    <w:basedOn w:val="a"/>
    <w:pPr>
      <w:spacing w:before="100" w:beforeAutospacing="1" w:after="100" w:afterAutospacing="1"/>
    </w:pPr>
    <w:rPr>
      <w:sz w:val="20"/>
      <w:szCs w:val="20"/>
    </w:rPr>
  </w:style>
  <w:style w:type="paragraph" w:styleId="yap-address" w:customStyle="1">
    <w:name w:val="yap-address"/>
    <w:basedOn w:val="a"/>
    <w:pPr>
      <w:spacing w:before="100" w:beforeAutospacing="1" w:after="100" w:afterAutospacing="1"/>
    </w:pPr>
  </w:style>
  <w:style w:type="paragraph" w:styleId="yap-domain" w:customStyle="1">
    <w:name w:val="yap-domain"/>
    <w:basedOn w:val="a"/>
    <w:pPr>
      <w:spacing w:before="100" w:beforeAutospacing="1" w:after="100" w:afterAutospacing="1"/>
    </w:pPr>
  </w:style>
  <w:style w:type="paragraph" w:styleId="yap-region" w:customStyle="1">
    <w:name w:val="yap-region"/>
    <w:basedOn w:val="a"/>
    <w:pPr>
      <w:spacing w:before="100" w:beforeAutospacing="1" w:after="100" w:afterAutospacing="1"/>
    </w:pPr>
  </w:style>
  <w:style w:type="paragraph" w:styleId="yap-warning" w:customStyle="1">
    <w:name w:val="yap-warning"/>
    <w:basedOn w:val="a"/>
    <w:pPr>
      <w:spacing w:before="100" w:beforeAutospacing="1" w:after="100" w:afterAutospacing="1"/>
    </w:pPr>
  </w:style>
  <w:style w:type="paragraph" w:styleId="b-share-popupheaderfirst" w:customStyle="1">
    <w:name w:val="b-share-popup__header_first"/>
    <w:basedOn w:val="a"/>
    <w:pPr>
      <w:spacing w:before="100" w:beforeAutospacing="1" w:after="100" w:afterAutospacing="1"/>
    </w:pPr>
  </w:style>
  <w:style w:type="paragraph" w:styleId="yap-logo-text" w:customStyle="1">
    <w:name w:val="yap-logo-text"/>
    <w:basedOn w:val="a"/>
    <w:pPr>
      <w:spacing w:before="100" w:beforeAutospacing="1" w:after="100" w:afterAutospacing="1"/>
    </w:pPr>
  </w:style>
  <w:style w:type="paragraph" w:styleId="yap-logo-arrow" w:customStyle="1">
    <w:name w:val="yap-logo-arrow"/>
    <w:basedOn w:val="a"/>
    <w:pPr>
      <w:spacing w:before="100" w:beforeAutospacing="1" w:after="100" w:afterAutospacing="1"/>
    </w:pPr>
  </w:style>
  <w:style w:type="paragraph" w:styleId="yap-favicon" w:customStyle="1">
    <w:name w:val="yap-favicon"/>
    <w:basedOn w:val="a"/>
    <w:pPr>
      <w:spacing w:before="100" w:beforeAutospacing="1" w:after="100" w:afterAutospacing="1"/>
    </w:pPr>
  </w:style>
  <w:style w:type="paragraph" w:styleId="yap-sitelink-text" w:customStyle="1">
    <w:name w:val="yap-sitelink-text"/>
    <w:basedOn w:val="a"/>
    <w:pPr>
      <w:spacing w:before="100" w:beforeAutospacing="1" w:after="100" w:afterAutospacing="1"/>
    </w:pPr>
  </w:style>
  <w:style w:type="paragraph" w:styleId="b-share-popupwith-link" w:customStyle="1">
    <w:name w:val="b-share-popup_with-link"/>
    <w:basedOn w:val="a"/>
    <w:pPr>
      <w:spacing w:before="100" w:beforeAutospacing="1" w:after="100" w:afterAutospacing="1"/>
    </w:pPr>
  </w:style>
  <w:style w:type="paragraph" w:styleId="b-share-popupyandexed" w:customStyle="1">
    <w:name w:val="b-share-popup_yandexed"/>
    <w:basedOn w:val="a"/>
    <w:pPr>
      <w:spacing w:before="100" w:beforeAutospacing="1" w:after="100" w:afterAutospacing="1"/>
    </w:pPr>
  </w:style>
  <w:style w:type="paragraph" w:styleId="b-share-popupshowformmail" w:customStyle="1">
    <w:name w:val="b-share-popup_show_form_mail"/>
    <w:basedOn w:val="a"/>
    <w:pPr>
      <w:spacing w:before="100" w:beforeAutospacing="1" w:after="100" w:afterAutospacing="1"/>
    </w:pPr>
  </w:style>
  <w:style w:type="paragraph" w:styleId="b-share-popupshowformhtml" w:customStyle="1">
    <w:name w:val="b-share-popup_show_form_html"/>
    <w:basedOn w:val="a"/>
    <w:pPr>
      <w:spacing w:before="100" w:beforeAutospacing="1" w:after="100" w:afterAutospacing="1"/>
    </w:pPr>
  </w:style>
  <w:style w:type="paragraph" w:styleId="yap-logo-color" w:customStyle="1">
    <w:name w:val="yap-logo-color"/>
    <w:basedOn w:val="a"/>
    <w:pPr>
      <w:spacing w:before="100" w:beforeAutospacing="1" w:after="100" w:afterAutospacing="1"/>
    </w:pPr>
  </w:style>
  <w:style w:type="paragraph" w:styleId="yap-title-color" w:customStyle="1">
    <w:name w:val="yap-title-color"/>
    <w:basedOn w:val="a"/>
    <w:pPr>
      <w:spacing w:before="100" w:beforeAutospacing="1" w:after="100" w:afterAutospacing="1"/>
    </w:pPr>
  </w:style>
  <w:style w:type="paragraph" w:styleId="yap-sitelinks-color" w:customStyle="1">
    <w:name w:val="yap-sitelinks-color"/>
    <w:basedOn w:val="a"/>
    <w:pPr>
      <w:spacing w:before="100" w:beforeAutospacing="1" w:after="100" w:afterAutospacing="1"/>
    </w:pPr>
  </w:style>
  <w:style w:type="paragraph" w:styleId="yap-text-color" w:customStyle="1">
    <w:name w:val="yap-text-color"/>
    <w:basedOn w:val="a"/>
    <w:pPr>
      <w:spacing w:before="100" w:beforeAutospacing="1" w:after="100" w:afterAutospacing="1"/>
    </w:pPr>
  </w:style>
  <w:style w:type="paragraph" w:styleId="yap-url-color" w:customStyle="1">
    <w:name w:val="yap-url-color"/>
    <w:basedOn w:val="a"/>
    <w:pPr>
      <w:spacing w:before="100" w:beforeAutospacing="1" w:after="100" w:afterAutospacing="1"/>
    </w:pPr>
  </w:style>
  <w:style w:type="paragraph" w:styleId="yap-border-color" w:customStyle="1">
    <w:name w:val="yap-border-color"/>
    <w:basedOn w:val="a"/>
    <w:pPr>
      <w:spacing w:before="100" w:beforeAutospacing="1" w:after="100" w:afterAutospacing="1"/>
    </w:pPr>
  </w:style>
  <w:style w:type="paragraph" w:styleId="yap-bg-color" w:customStyle="1">
    <w:name w:val="yap-bg-color"/>
    <w:basedOn w:val="a"/>
    <w:pPr>
      <w:spacing w:before="100" w:beforeAutospacing="1" w:after="100" w:afterAutospacing="1"/>
    </w:pPr>
  </w:style>
  <w:style w:type="paragraph" w:styleId="yap-font-family" w:customStyle="1">
    <w:name w:val="yap-font-family"/>
    <w:basedOn w:val="a"/>
    <w:pPr>
      <w:spacing w:before="100" w:beforeAutospacing="1" w:after="100" w:afterAutospacing="1"/>
    </w:pPr>
  </w:style>
  <w:style w:type="paragraph" w:styleId="yap-warning-colors" w:customStyle="1">
    <w:name w:val="yap-warning-colors"/>
    <w:basedOn w:val="a"/>
    <w:pPr>
      <w:spacing w:before="100" w:beforeAutospacing="1" w:after="100" w:afterAutospacing="1"/>
    </w:pPr>
  </w:style>
  <w:style w:type="paragraph" w:styleId="yap-font-size" w:customStyle="1">
    <w:name w:val="yap-font-size"/>
    <w:basedOn w:val="a"/>
    <w:pPr>
      <w:spacing w:before="100" w:beforeAutospacing="1" w:after="100" w:afterAutospacing="1"/>
    </w:pPr>
  </w:style>
  <w:style w:type="paragraph" w:styleId="yap-title-font-size" w:customStyle="1">
    <w:name w:val="yap-title-font-size"/>
    <w:basedOn w:val="a"/>
    <w:pPr>
      <w:spacing w:before="100" w:beforeAutospacing="1" w:after="100" w:afterAutospacing="1"/>
    </w:pPr>
  </w:style>
  <w:style w:type="paragraph" w:styleId="yap-hover-color" w:customStyle="1">
    <w:name w:val="yap-hover-color"/>
    <w:basedOn w:val="a"/>
    <w:pPr>
      <w:spacing w:before="100" w:beforeAutospacing="1" w:after="100" w:afterAutospacing="1"/>
    </w:pPr>
  </w:style>
  <w:style w:type="character" w:styleId="current" w:customStyle="1">
    <w:name w:val="current"/>
    <w:rPr>
      <w:rFonts w:cs="Times New Roman"/>
    </w:rPr>
  </w:style>
  <w:style w:type="paragraph" w:styleId="month1" w:customStyle="1">
    <w:name w:val="month1"/>
    <w:basedOn w:val="a"/>
    <w:pPr>
      <w:spacing w:before="100" w:beforeAutospacing="1" w:after="100" w:afterAutospacing="1" w:line="108" w:lineRule="atLeast"/>
    </w:pPr>
    <w:rPr>
      <w:color w:val="999999"/>
      <w:sz w:val="11"/>
      <w:szCs w:val="11"/>
    </w:rPr>
  </w:style>
  <w:style w:type="paragraph" w:styleId="day1" w:customStyle="1">
    <w:name w:val="day1"/>
    <w:basedOn w:val="a"/>
    <w:pPr>
      <w:spacing w:before="100" w:beforeAutospacing="1" w:after="100" w:afterAutospacing="1" w:line="240" w:lineRule="atLeast"/>
    </w:pPr>
    <w:rPr>
      <w:rFonts w:ascii="Arial" w:hAnsi="Arial" w:cs="Arial"/>
      <w:color w:val="cc6600"/>
      <w:spacing w:val="-12"/>
    </w:rPr>
  </w:style>
  <w:style w:type="paragraph" w:styleId="prev1" w:customStyle="1">
    <w:name w:val="prev1"/>
    <w:basedOn w:val="a"/>
    <w:pPr>
      <w:spacing w:before="100" w:beforeAutospacing="1" w:after="100" w:afterAutospacing="1"/>
    </w:pPr>
    <w:rPr>
      <w:color w:val="027ee7"/>
    </w:rPr>
  </w:style>
  <w:style w:type="paragraph" w:styleId="next1" w:customStyle="1">
    <w:name w:val="next1"/>
    <w:basedOn w:val="a"/>
    <w:pPr>
      <w:spacing w:before="100" w:beforeAutospacing="1" w:after="100" w:afterAutospacing="1"/>
    </w:pPr>
    <w:rPr>
      <w:color w:val="027ee7"/>
    </w:rPr>
  </w:style>
  <w:style w:type="paragraph" w:styleId="trackback1" w:customStyle="1">
    <w:name w:val="trackback1"/>
    <w:basedOn w:val="a"/>
    <w:pPr>
      <w:spacing w:before="100" w:beforeAutospacing="1" w:after="100" w:afterAutospacing="1"/>
    </w:pPr>
    <w:rPr>
      <w:color w:val="027ee7"/>
    </w:rPr>
  </w:style>
  <w:style w:type="paragraph" w:styleId="rss1" w:customStyle="1">
    <w:name w:val="rss1"/>
    <w:basedOn w:val="a"/>
    <w:pPr>
      <w:spacing w:before="100" w:beforeAutospacing="1" w:after="100" w:afterAutospacing="1"/>
    </w:pPr>
    <w:rPr>
      <w:color w:val="027ee7"/>
    </w:rPr>
  </w:style>
  <w:style w:type="paragraph" w:styleId="listuser1" w:customStyle="1">
    <w:name w:val="listuser1"/>
    <w:basedOn w:val="a"/>
    <w:pPr>
      <w:spacing w:line="168" w:lineRule="atLeast"/>
    </w:pPr>
    <w:rPr>
      <w:rFonts w:ascii="Trebuchet MS" w:hAnsi="Trebuchet MS" w:cs="Trebuchet MS"/>
      <w:b/>
      <w:bCs/>
      <w:sz w:val="17"/>
      <w:szCs w:val="17"/>
    </w:rPr>
  </w:style>
  <w:style w:type="paragraph" w:styleId="listnr1" w:customStyle="1">
    <w:name w:val="listnr1"/>
    <w:basedOn w:val="a"/>
    <w:pPr>
      <w:pBdr>
        <w:right w:val="single" w:color="E2E2E2" w:sz="4" w:space="6"/>
      </w:pBdr>
      <w:spacing w:line="312" w:lineRule="atLeast"/>
      <w:jc w:val="center"/>
    </w:pPr>
    <w:rPr>
      <w:rFonts w:ascii="Arial" w:hAnsi="Arial" w:cs="Arial"/>
      <w:color w:val="7f7f7f"/>
      <w:sz w:val="31"/>
      <w:szCs w:val="31"/>
    </w:rPr>
  </w:style>
  <w:style w:type="paragraph" w:styleId="listdate1" w:customStyle="1">
    <w:name w:val="listdate1"/>
    <w:basedOn w:val="a"/>
    <w:pPr>
      <w:spacing w:before="100" w:beforeAutospacing="1" w:after="100" w:afterAutospacing="1"/>
    </w:pPr>
  </w:style>
  <w:style w:type="paragraph" w:styleId="listcontent1" w:customStyle="1">
    <w:name w:val="listcontent1"/>
    <w:basedOn w:val="a"/>
    <w:pPr>
      <w:pBdr>
        <w:top w:val="single" w:color="C5CAD0" w:sz="4" w:space="0"/>
      </w:pBdr>
      <w:spacing w:before="120" w:line="168" w:lineRule="atLeast"/>
    </w:pPr>
  </w:style>
  <w:style w:type="paragraph" w:styleId="textfield1" w:customStyle="1">
    <w:name w:val="textfield1"/>
    <w:basedOn w:val="a"/>
    <w:pPr>
      <w:pBdr>
        <w:top w:val="single" w:color="C3DCF1" w:sz="4" w:space="2"/>
        <w:left w:val="single" w:color="C3DCF1" w:sz="4" w:space="2"/>
        <w:bottom w:val="single" w:color="C3DCF1" w:sz="4" w:space="2"/>
        <w:right w:val="single" w:color="C3DCF1" w:sz="4" w:space="2"/>
      </w:pBdr>
      <w:shd w:val="clear" w:color="auto" w:fill="ffffff"/>
      <w:ind w:right="180"/>
    </w:pPr>
    <w:rPr>
      <w:color w:val="50728c"/>
    </w:rPr>
  </w:style>
  <w:style w:type="paragraph" w:styleId="textarea1" w:customStyle="1">
    <w:name w:val="textarea1"/>
    <w:basedOn w:val="a"/>
    <w:pPr>
      <w:pBdr>
        <w:top w:val="single" w:color="C3DCF1" w:sz="4" w:space="2"/>
        <w:left w:val="single" w:color="C3DCF1" w:sz="4" w:space="2"/>
        <w:bottom w:val="single" w:color="C3DCF1" w:sz="4" w:space="2"/>
        <w:right w:val="single" w:color="C3DCF1" w:sz="4" w:space="2"/>
      </w:pBdr>
      <w:shd w:val="clear" w:color="auto" w:fill="ffffff"/>
      <w:spacing w:after="120"/>
    </w:pPr>
    <w:rPr>
      <w:color w:val="50728c"/>
    </w:rPr>
  </w:style>
  <w:style w:type="paragraph" w:styleId="yarpphelpmsg1" w:customStyle="1">
    <w:name w:val="yarpp_help_msg1"/>
    <w:basedOn w:val="a"/>
    <w:pPr>
      <w:pBdr>
        <w:top w:val="single" w:color="D0D0D0" w:sz="4" w:space="6"/>
        <w:left w:val="single" w:color="D0D0D0" w:sz="4" w:space="9"/>
        <w:bottom w:val="single" w:color="D0D0D0" w:sz="4" w:space="6"/>
        <w:right w:val="single" w:color="D0D0D0" w:sz="4" w:space="9"/>
      </w:pBdr>
      <w:shd w:val="clear" w:color="auto" w:fill="ffffff"/>
      <w:spacing w:before="100" w:beforeAutospacing="1" w:after="100" w:afterAutospacing="1"/>
      <w:jc w:val="both"/>
    </w:pPr>
  </w:style>
  <w:style w:type="character" w:styleId="current1" w:customStyle="1">
    <w:name w:val="current1"/>
    <w:rPr>
      <w:rFonts w:cs="Times New Roman"/>
      <w:b/>
      <w:bCs/>
      <w:u w:val="none"/>
    </w:rPr>
  </w:style>
  <w:style w:type="paragraph" w:styleId="ec-stars-overlay1" w:customStyle="1">
    <w:name w:val="ec-stars-overlay1"/>
    <w:basedOn w:val="a"/>
    <w:pPr>
      <w:spacing w:before="100" w:beforeAutospacing="1" w:after="100" w:afterAutospacing="1"/>
    </w:pPr>
    <w:rPr>
      <w:vanish/>
    </w:rPr>
  </w:style>
  <w:style w:type="paragraph" w:styleId="relatedposttitle1" w:customStyle="1">
    <w:name w:val="related_post_title1"/>
    <w:basedOn w:val="a"/>
  </w:style>
  <w:style w:type="paragraph" w:styleId="yap-list-wrapper1" w:customStyle="1">
    <w:name w:val="yap-list-wrapper1"/>
    <w:basedOn w:val="a"/>
    <w:pPr>
      <w:pBdr>
        <w:top w:val="single" w:color="000000" w:sz="2" w:space="0"/>
        <w:left w:val="single" w:color="000000" w:sz="2" w:space="0"/>
        <w:bottom w:val="single" w:color="000000" w:sz="2" w:space="0"/>
        <w:right w:val="single" w:color="000000" w:sz="2" w:space="0"/>
      </w:pBdr>
      <w:spacing w:before="100" w:beforeAutospacing="1" w:after="100" w:afterAutospacing="1"/>
    </w:pPr>
  </w:style>
  <w:style w:type="paragraph" w:styleId="yap-list-wrapper2" w:customStyle="1">
    <w:name w:val="yap-list-wrapper2"/>
    <w:basedOn w:val="a"/>
    <w:pPr>
      <w:pBdr>
        <w:top w:val="single" w:color="000000" w:sz="2" w:space="0"/>
        <w:left w:val="single" w:color="000000" w:sz="2" w:space="0"/>
        <w:bottom w:val="single" w:color="000000" w:sz="2" w:space="0"/>
        <w:right w:val="single" w:color="000000" w:sz="2" w:space="0"/>
      </w:pBdr>
      <w:spacing w:before="100" w:beforeAutospacing="1" w:after="100" w:afterAutospacing="1"/>
    </w:pPr>
  </w:style>
  <w:style w:type="paragraph" w:styleId="yap-logo-text1" w:customStyle="1">
    <w:name w:val="yap-logo-text1"/>
    <w:basedOn w:val="a"/>
    <w:pPr>
      <w:spacing w:before="100" w:beforeAutospacing="1" w:after="100" w:afterAutospacing="1"/>
    </w:pPr>
  </w:style>
  <w:style w:type="paragraph" w:styleId="yap-logo-text2" w:customStyle="1">
    <w:name w:val="yap-logo-text2"/>
    <w:basedOn w:val="a"/>
    <w:pPr>
      <w:spacing w:before="100" w:beforeAutospacing="1" w:after="100" w:afterAutospacing="1"/>
    </w:pPr>
  </w:style>
  <w:style w:type="paragraph" w:styleId="yap-logo-text3" w:customStyle="1">
    <w:name w:val="yap-logo-text3"/>
    <w:basedOn w:val="a"/>
    <w:pPr>
      <w:spacing w:before="100" w:beforeAutospacing="1" w:after="100" w:afterAutospacing="1"/>
    </w:pPr>
  </w:style>
  <w:style w:type="paragraph" w:styleId="yap-logo-arrow1" w:customStyle="1">
    <w:name w:val="yap-logo-arrow1"/>
    <w:basedOn w:val="a"/>
    <w:pPr>
      <w:spacing w:before="100" w:beforeAutospacing="1" w:after="100" w:afterAutospacing="1"/>
    </w:pPr>
  </w:style>
  <w:style w:type="paragraph" w:styleId="yap-title-block1" w:customStyle="1">
    <w:name w:val="yap-title-block1"/>
    <w:basedOn w:val="a"/>
    <w:pPr>
      <w:spacing w:before="100" w:beforeAutospacing="1" w:after="100" w:afterAutospacing="1"/>
    </w:pPr>
  </w:style>
  <w:style w:type="paragraph" w:styleId="yap-favicon1" w:customStyle="1">
    <w:name w:val="yap-favicon1"/>
    <w:basedOn w:val="a"/>
    <w:pPr>
      <w:spacing w:after="100" w:afterAutospacing="1"/>
    </w:pPr>
  </w:style>
  <w:style w:type="paragraph" w:styleId="yap-sitelink-text1" w:customStyle="1">
    <w:name w:val="yap-sitelink-text1"/>
    <w:basedOn w:val="a"/>
    <w:pPr>
      <w:spacing w:before="100" w:beforeAutospacing="1" w:after="100" w:afterAutospacing="1"/>
    </w:pPr>
  </w:style>
  <w:style w:type="paragraph" w:styleId="yap-sitelink-text2" w:customStyle="1">
    <w:name w:val="yap-sitelink-text2"/>
    <w:basedOn w:val="a"/>
    <w:pPr>
      <w:spacing w:before="100" w:beforeAutospacing="1" w:after="100" w:afterAutospacing="1"/>
    </w:pPr>
  </w:style>
  <w:style w:type="paragraph" w:styleId="yap-contacts1" w:customStyle="1">
    <w:name w:val="yap-contacts1"/>
    <w:basedOn w:val="a"/>
    <w:pPr>
      <w:spacing w:before="100" w:beforeAutospacing="1" w:after="100" w:afterAutospacing="1"/>
    </w:pPr>
    <w:rPr>
      <w:sz w:val="20"/>
      <w:szCs w:val="20"/>
    </w:rPr>
  </w:style>
  <w:style w:type="paragraph" w:styleId="yap-logo-bg-color1" w:customStyle="1">
    <w:name w:val="yap-logo-bg-color1"/>
    <w:basedOn w:val="a"/>
    <w:pPr>
      <w:spacing w:before="100" w:beforeAutospacing="1" w:after="100" w:afterAutospacing="1"/>
    </w:pPr>
  </w:style>
  <w:style w:type="paragraph" w:styleId="yap-logo-color1" w:customStyle="1">
    <w:name w:val="yap-logo-color1"/>
    <w:basedOn w:val="a"/>
    <w:pPr>
      <w:spacing w:before="100" w:beforeAutospacing="1" w:after="100" w:afterAutospacing="1"/>
    </w:pPr>
    <w:rPr>
      <w:color w:val="000000"/>
    </w:rPr>
  </w:style>
  <w:style w:type="paragraph" w:styleId="yap-logo-arrow2" w:customStyle="1">
    <w:name w:val="yap-logo-arrow2"/>
    <w:basedOn w:val="a"/>
    <w:pPr>
      <w:spacing w:before="100" w:beforeAutospacing="1" w:after="100" w:afterAutospacing="1"/>
    </w:pPr>
  </w:style>
  <w:style w:type="paragraph" w:styleId="yap-title-color1" w:customStyle="1">
    <w:name w:val="yap-title-color1"/>
    <w:basedOn w:val="a"/>
    <w:pPr>
      <w:spacing w:before="100" w:beforeAutospacing="1" w:after="100" w:afterAutospacing="1"/>
    </w:pPr>
    <w:rPr>
      <w:color w:val="990000"/>
    </w:rPr>
  </w:style>
  <w:style w:type="paragraph" w:styleId="yap-sitelinks-color1" w:customStyle="1">
    <w:name w:val="yap-sitelinks-color1"/>
    <w:basedOn w:val="a"/>
    <w:pPr>
      <w:spacing w:before="100" w:beforeAutospacing="1" w:after="100" w:afterAutospacing="1"/>
    </w:pPr>
    <w:rPr>
      <w:color w:val="990000"/>
    </w:rPr>
  </w:style>
  <w:style w:type="paragraph" w:styleId="yap-hover-color1" w:customStyle="1">
    <w:name w:val="yap-hover-color1"/>
    <w:basedOn w:val="a"/>
    <w:pPr>
      <w:spacing w:before="100" w:beforeAutospacing="1" w:after="100" w:afterAutospacing="1"/>
    </w:pPr>
    <w:rPr>
      <w:color w:val="cc0000"/>
    </w:rPr>
  </w:style>
  <w:style w:type="paragraph" w:styleId="yap-text-color1" w:customStyle="1">
    <w:name w:val="yap-text-color1"/>
    <w:basedOn w:val="a"/>
    <w:pPr>
      <w:spacing w:before="100" w:beforeAutospacing="1" w:after="100" w:afterAutospacing="1"/>
    </w:pPr>
    <w:rPr>
      <w:color w:val="000000"/>
    </w:rPr>
  </w:style>
  <w:style w:type="paragraph" w:styleId="yap-url-color1" w:customStyle="1">
    <w:name w:val="yap-url-color1"/>
    <w:basedOn w:val="a"/>
    <w:pPr>
      <w:spacing w:before="100" w:beforeAutospacing="1" w:after="100" w:afterAutospacing="1"/>
    </w:pPr>
    <w:rPr>
      <w:color w:val="000000"/>
    </w:rPr>
  </w:style>
  <w:style w:type="paragraph" w:styleId="yap-border-color1" w:customStyle="1">
    <w:name w:val="yap-border-color1"/>
    <w:basedOn w:val="a"/>
    <w:pPr>
      <w:spacing w:before="100" w:beforeAutospacing="1" w:after="100" w:afterAutospacing="1"/>
    </w:pPr>
  </w:style>
  <w:style w:type="paragraph" w:styleId="yap-bg-color1" w:customStyle="1">
    <w:name w:val="yap-bg-color1"/>
    <w:basedOn w:val="a"/>
    <w:pPr>
      <w:spacing w:before="100" w:beforeAutospacing="1" w:after="100" w:afterAutospacing="1"/>
    </w:pPr>
  </w:style>
  <w:style w:type="paragraph" w:styleId="yap-font-family1" w:customStyle="1">
    <w:name w:val="yap-font-family1"/>
    <w:basedOn w:val="a"/>
    <w:pPr>
      <w:spacing w:before="100" w:beforeAutospacing="1" w:after="100" w:afterAutospacing="1"/>
    </w:pPr>
    <w:rPr>
      <w:rFonts w:ascii="inherit" w:hAnsi="inherit" w:cs="inherit"/>
    </w:rPr>
  </w:style>
  <w:style w:type="paragraph" w:styleId="yap-warning-colors1" w:customStyle="1">
    <w:name w:val="yap-warning-colors1"/>
    <w:basedOn w:val="a"/>
    <w:pPr>
      <w:shd w:val="clear" w:color="auto" w:fill="ffffff"/>
      <w:spacing w:before="100" w:beforeAutospacing="1" w:after="100" w:afterAutospacing="1"/>
    </w:pPr>
  </w:style>
  <w:style w:type="paragraph" w:styleId="yap-font-size1" w:customStyle="1">
    <w:name w:val="yap-font-size1"/>
    <w:basedOn w:val="a"/>
    <w:pPr>
      <w:spacing w:before="100" w:beforeAutospacing="1" w:after="100" w:afterAutospacing="1"/>
    </w:pPr>
  </w:style>
  <w:style w:type="paragraph" w:styleId="yap-title-font-size1" w:customStyle="1">
    <w:name w:val="yap-title-font-size1"/>
    <w:basedOn w:val="a"/>
    <w:pPr>
      <w:spacing w:before="100" w:beforeAutospacing="1" w:after="100" w:afterAutospacing="1"/>
    </w:pPr>
    <w:rPr>
      <w:sz w:val="34"/>
      <w:szCs w:val="34"/>
    </w:rPr>
  </w:style>
  <w:style w:type="paragraph" w:styleId="yap-item1" w:customStyle="1">
    <w:name w:val="yap-item1"/>
    <w:basedOn w:val="a"/>
    <w:pPr>
      <w:pBdr>
        <w:right w:val="single" w:color="000000" w:sz="4" w:space="0"/>
      </w:pBdr>
      <w:spacing w:before="100" w:beforeAutospacing="1" w:after="100" w:afterAutospacing="1"/>
    </w:pPr>
  </w:style>
  <w:style w:type="paragraph" w:styleId="b-share-popupitemtext1" w:customStyle="1">
    <w:name w:val="b-share-popup__item__text1"/>
    <w:basedOn w:val="a"/>
    <w:pPr>
      <w:spacing w:before="100" w:beforeAutospacing="1" w:after="100" w:afterAutospacing="1"/>
    </w:pPr>
    <w:rPr>
      <w:color w:val="1a3dc1"/>
      <w:u w:val="single"/>
    </w:rPr>
  </w:style>
  <w:style w:type="paragraph" w:styleId="b-share-popupitemtext2" w:customStyle="1">
    <w:name w:val="b-share-popup__item__text2"/>
    <w:basedOn w:val="a"/>
    <w:pPr>
      <w:spacing w:before="100" w:beforeAutospacing="1" w:after="100" w:afterAutospacing="1"/>
    </w:pPr>
    <w:rPr>
      <w:color w:val="ff0000"/>
      <w:u w:val="single"/>
    </w:rPr>
  </w:style>
  <w:style w:type="paragraph" w:styleId="b-share-popupwith-link1" w:customStyle="1">
    <w:name w:val="b-share-popup_with-link1"/>
    <w:basedOn w:val="a"/>
    <w:pPr>
      <w:spacing w:before="100" w:beforeAutospacing="1" w:after="100" w:afterAutospacing="1"/>
    </w:pPr>
  </w:style>
  <w:style w:type="paragraph" w:styleId="b-share-popupwith-link2" w:customStyle="1">
    <w:name w:val="b-share-popup_with-link2"/>
    <w:basedOn w:val="a"/>
    <w:pPr>
      <w:spacing w:before="100" w:beforeAutospacing="1" w:after="100" w:afterAutospacing="1"/>
    </w:pPr>
  </w:style>
  <w:style w:type="paragraph" w:styleId="b-share-popupmain1" w:customStyle="1">
    <w:name w:val="b-share-popup__main1"/>
    <w:basedOn w:val="a"/>
    <w:pPr>
      <w:spacing w:before="100" w:beforeAutospacing="1" w:after="100" w:afterAutospacing="1"/>
    </w:pPr>
  </w:style>
  <w:style w:type="paragraph" w:styleId="b-share-popupmain2" w:customStyle="1">
    <w:name w:val="b-share-popup__main2"/>
    <w:basedOn w:val="a"/>
    <w:pPr>
      <w:spacing w:before="100" w:beforeAutospacing="1" w:after="100" w:afterAutospacing="1"/>
    </w:pPr>
  </w:style>
  <w:style w:type="paragraph" w:styleId="b-share-popupyandexed1" w:customStyle="1">
    <w:name w:val="b-share-popup_yandexed1"/>
    <w:basedOn w:val="a"/>
    <w:pPr>
      <w:spacing w:before="100" w:beforeAutospacing="1" w:after="100" w:afterAutospacing="1"/>
    </w:pPr>
  </w:style>
  <w:style w:type="paragraph" w:styleId="b-share-popupyandexed2" w:customStyle="1">
    <w:name w:val="b-share-popup_yandexed2"/>
    <w:basedOn w:val="a"/>
    <w:pPr>
      <w:spacing w:before="100" w:beforeAutospacing="1" w:after="100" w:afterAutospacing="1"/>
    </w:pPr>
  </w:style>
  <w:style w:type="paragraph" w:styleId="b-share-popupitem1" w:customStyle="1">
    <w:name w:val="b-share-popup__item1"/>
    <w:basedOn w:val="a"/>
    <w:pPr>
      <w:shd w:val="clear" w:color="auto" w:fill="ffffff"/>
      <w:spacing w:before="120" w:line="240" w:lineRule="atLeast"/>
    </w:pPr>
    <w:rPr>
      <w:rFonts w:ascii="Verdana" w:hAnsi="Verdana" w:cs="Verdana"/>
      <w:color w:val="999999"/>
      <w:sz w:val="21"/>
      <w:szCs w:val="21"/>
    </w:rPr>
  </w:style>
  <w:style w:type="paragraph" w:styleId="b-share-popupexpander1" w:customStyle="1">
    <w:name w:val="b-share-popup__expander1"/>
    <w:basedOn w:val="a"/>
    <w:pPr>
      <w:spacing w:before="100" w:beforeAutospacing="1" w:after="100" w:afterAutospacing="1"/>
      <w:jc w:val="right"/>
    </w:pPr>
  </w:style>
  <w:style w:type="paragraph" w:styleId="b-share-popupicon1" w:customStyle="1">
    <w:name w:val="b-share-popup__icon1"/>
    <w:basedOn w:val="a"/>
  </w:style>
  <w:style w:type="paragraph" w:styleId="b-share-popupitemtext3" w:customStyle="1">
    <w:name w:val="b-share-popup__item__text3"/>
    <w:basedOn w:val="a"/>
    <w:pPr>
      <w:spacing w:before="100" w:beforeAutospacing="1" w:after="100" w:afterAutospacing="1"/>
    </w:pPr>
    <w:rPr>
      <w:u w:val="single"/>
    </w:rPr>
  </w:style>
  <w:style w:type="paragraph" w:styleId="b-icoactionrarr1" w:customStyle="1">
    <w:name w:val="b-ico_action_rarr1"/>
    <w:basedOn w:val="a"/>
    <w:pPr>
      <w:spacing w:before="100" w:beforeAutospacing="1" w:after="100" w:afterAutospacing="1"/>
    </w:pPr>
    <w:rPr>
      <w:vanish/>
    </w:rPr>
  </w:style>
  <w:style w:type="paragraph" w:styleId="b-icoactionlarr1" w:customStyle="1">
    <w:name w:val="b-ico_action_larr1"/>
    <w:basedOn w:val="a"/>
    <w:pPr>
      <w:spacing w:before="100" w:beforeAutospacing="1" w:after="100" w:afterAutospacing="1"/>
    </w:pPr>
    <w:rPr>
      <w:vanish/>
    </w:rPr>
  </w:style>
  <w:style w:type="paragraph" w:styleId="b-icoactionlarr2" w:customStyle="1">
    <w:name w:val="b-ico_action_larr2"/>
    <w:basedOn w:val="a"/>
    <w:pPr>
      <w:spacing w:before="100" w:beforeAutospacing="1" w:after="100" w:afterAutospacing="1"/>
    </w:pPr>
    <w:rPr>
      <w:vanish/>
    </w:rPr>
  </w:style>
  <w:style w:type="paragraph" w:styleId="b-icoactionrarr2" w:customStyle="1">
    <w:name w:val="b-ico_action_rarr2"/>
    <w:basedOn w:val="a"/>
    <w:pPr>
      <w:spacing w:before="100" w:beforeAutospacing="1" w:after="100" w:afterAutospacing="1"/>
    </w:pPr>
    <w:rPr>
      <w:vanish/>
    </w:rPr>
  </w:style>
  <w:style w:type="paragraph" w:styleId="b-share-popupitemtextcollapse1" w:customStyle="1">
    <w:name w:val="b-share-popup__item__text_collapse1"/>
    <w:basedOn w:val="a"/>
    <w:pPr>
      <w:spacing w:before="100" w:beforeAutospacing="1" w:after="100" w:afterAutospacing="1"/>
    </w:pPr>
    <w:rPr>
      <w:vanish/>
    </w:rPr>
  </w:style>
  <w:style w:type="paragraph" w:styleId="b-share-popupitemtextexpand1" w:customStyle="1">
    <w:name w:val="b-share-popup__item__text_expand1"/>
    <w:basedOn w:val="a"/>
    <w:pPr>
      <w:spacing w:before="100" w:beforeAutospacing="1" w:after="100" w:afterAutospacing="1"/>
    </w:pPr>
    <w:rPr>
      <w:vanish/>
    </w:rPr>
  </w:style>
  <w:style w:type="paragraph" w:styleId="b-icoactionrarr3" w:customStyle="1">
    <w:name w:val="b-ico_action_rarr3"/>
    <w:basedOn w:val="a"/>
    <w:pPr>
      <w:spacing w:before="100" w:beforeAutospacing="1" w:after="100" w:afterAutospacing="1"/>
    </w:pPr>
  </w:style>
  <w:style w:type="paragraph" w:styleId="b-share-popupitemtextcollapse2" w:customStyle="1">
    <w:name w:val="b-share-popup__item__text_collapse2"/>
    <w:basedOn w:val="a"/>
    <w:pPr>
      <w:spacing w:before="100" w:beforeAutospacing="1" w:after="100" w:afterAutospacing="1"/>
    </w:pPr>
  </w:style>
  <w:style w:type="paragraph" w:styleId="b-icoactionrarr4" w:customStyle="1">
    <w:name w:val="b-ico_action_rarr4"/>
    <w:basedOn w:val="a"/>
    <w:pPr>
      <w:spacing w:before="100" w:beforeAutospacing="1" w:after="100" w:afterAutospacing="1"/>
    </w:pPr>
  </w:style>
  <w:style w:type="paragraph" w:styleId="b-icoactionlarr3" w:customStyle="1">
    <w:name w:val="b-ico_action_larr3"/>
    <w:basedOn w:val="a"/>
    <w:pPr>
      <w:spacing w:before="100" w:beforeAutospacing="1" w:after="100" w:afterAutospacing="1"/>
    </w:pPr>
  </w:style>
  <w:style w:type="paragraph" w:styleId="b-share-popupmain3" w:customStyle="1">
    <w:name w:val="b-share-popup__main3"/>
    <w:basedOn w:val="a"/>
    <w:pPr>
      <w:spacing w:before="100" w:beforeAutospacing="1" w:after="100" w:afterAutospacing="1"/>
    </w:pPr>
  </w:style>
  <w:style w:type="paragraph" w:styleId="b-share-popupextra1" w:customStyle="1">
    <w:name w:val="b-share-popup__extra1"/>
    <w:basedOn w:val="a"/>
    <w:pPr>
      <w:ind w:right="-120"/>
    </w:pPr>
    <w:rPr>
      <w:vanish/>
    </w:rPr>
  </w:style>
  <w:style w:type="paragraph" w:styleId="b-share-popupextra2" w:customStyle="1">
    <w:name w:val="b-share-popup__extra2"/>
    <w:basedOn w:val="a"/>
    <w:pPr>
      <w:ind w:left="-120"/>
    </w:pPr>
    <w:rPr>
      <w:vanish/>
    </w:rPr>
  </w:style>
  <w:style w:type="paragraph" w:styleId="b-share-popuptail1" w:customStyle="1">
    <w:name w:val="b-share-popup__tail1"/>
    <w:basedOn w:val="a"/>
    <w:pPr>
      <w:ind w:left="-132"/>
    </w:pPr>
  </w:style>
  <w:style w:type="paragraph" w:styleId="b-share-popuptail2" w:customStyle="1">
    <w:name w:val="b-share-popup__tail2"/>
    <w:basedOn w:val="a"/>
    <w:pPr>
      <w:ind w:left="-132"/>
    </w:pPr>
  </w:style>
  <w:style w:type="paragraph" w:styleId="b-share-popupshowformmail1" w:customStyle="1">
    <w:name w:val="b-share-popup_show_form_mail1"/>
    <w:basedOn w:val="a"/>
    <w:pPr>
      <w:spacing w:before="100" w:beforeAutospacing="1" w:after="100" w:afterAutospacing="1"/>
    </w:pPr>
  </w:style>
  <w:style w:type="paragraph" w:styleId="b-share-popupshowformhtml1" w:customStyle="1">
    <w:name w:val="b-share-popup_show_form_html1"/>
    <w:basedOn w:val="a"/>
    <w:pPr>
      <w:spacing w:before="100" w:beforeAutospacing="1" w:after="100" w:afterAutospacing="1"/>
    </w:pPr>
  </w:style>
  <w:style w:type="paragraph" w:styleId="b-share-popupmain4" w:customStyle="1">
    <w:name w:val="b-share-popup__main4"/>
    <w:basedOn w:val="a"/>
    <w:pPr>
      <w:spacing w:before="100" w:beforeAutospacing="1" w:after="100" w:afterAutospacing="1"/>
    </w:pPr>
  </w:style>
  <w:style w:type="paragraph" w:styleId="b-share-popupmain5" w:customStyle="1">
    <w:name w:val="b-share-popup__main5"/>
    <w:basedOn w:val="a"/>
    <w:pPr>
      <w:spacing w:before="100" w:beforeAutospacing="1" w:after="100" w:afterAutospacing="1"/>
    </w:pPr>
  </w:style>
  <w:style w:type="paragraph" w:styleId="b-share-popupmain6" w:customStyle="1">
    <w:name w:val="b-share-popup__main6"/>
    <w:basedOn w:val="a"/>
    <w:pPr>
      <w:spacing w:before="100" w:beforeAutospacing="1" w:after="100" w:afterAutospacing="1"/>
    </w:pPr>
  </w:style>
  <w:style w:type="paragraph" w:styleId="b-share-popupextra3" w:customStyle="1">
    <w:name w:val="b-share-popup__extra3"/>
    <w:basedOn w:val="a"/>
    <w:pPr>
      <w:ind w:right="-120"/>
    </w:pPr>
    <w:rPr>
      <w:vanish/>
    </w:rPr>
  </w:style>
  <w:style w:type="paragraph" w:styleId="b-share-popupextra4" w:customStyle="1">
    <w:name w:val="b-share-popup__extra4"/>
    <w:basedOn w:val="a"/>
    <w:pPr>
      <w:ind w:right="-120"/>
    </w:pPr>
    <w:rPr>
      <w:vanish/>
    </w:rPr>
  </w:style>
  <w:style w:type="paragraph" w:styleId="b-share-popupextra5" w:customStyle="1">
    <w:name w:val="b-share-popup__extra5"/>
    <w:basedOn w:val="a"/>
    <w:pPr>
      <w:ind w:right="-120"/>
    </w:pPr>
    <w:rPr>
      <w:vanish/>
    </w:rPr>
  </w:style>
  <w:style w:type="paragraph" w:styleId="b-share-popupexpander2" w:customStyle="1">
    <w:name w:val="b-share-popup__expander2"/>
    <w:basedOn w:val="a"/>
    <w:pPr>
      <w:spacing w:before="100" w:beforeAutospacing="1" w:after="100" w:afterAutospacing="1"/>
    </w:pPr>
    <w:rPr>
      <w:vanish/>
    </w:rPr>
  </w:style>
  <w:style w:type="paragraph" w:styleId="b-share-popupexpander3" w:customStyle="1">
    <w:name w:val="b-share-popup__expander3"/>
    <w:basedOn w:val="a"/>
    <w:pPr>
      <w:spacing w:before="100" w:beforeAutospacing="1" w:after="100" w:afterAutospacing="1"/>
    </w:pPr>
    <w:rPr>
      <w:vanish/>
    </w:rPr>
  </w:style>
  <w:style w:type="paragraph" w:styleId="b-share-popupexpander4" w:customStyle="1">
    <w:name w:val="b-share-popup__expander4"/>
    <w:basedOn w:val="a"/>
    <w:pPr>
      <w:spacing w:before="100" w:beforeAutospacing="1" w:after="100" w:afterAutospacing="1"/>
    </w:pPr>
    <w:rPr>
      <w:vanish/>
    </w:rPr>
  </w:style>
  <w:style w:type="paragraph" w:styleId="b-share-popupinputlink1" w:customStyle="1">
    <w:name w:val="b-share-popup__input_link1"/>
    <w:basedOn w:val="a"/>
    <w:pPr>
      <w:spacing w:before="100" w:beforeAutospacing="1" w:after="100" w:afterAutospacing="1"/>
    </w:pPr>
    <w:rPr>
      <w:vanish/>
    </w:rPr>
  </w:style>
  <w:style w:type="paragraph" w:styleId="b-share-popupinputlink2" w:customStyle="1">
    <w:name w:val="b-share-popup__input_link2"/>
    <w:basedOn w:val="a"/>
    <w:pPr>
      <w:spacing w:before="100" w:beforeAutospacing="1" w:after="100" w:afterAutospacing="1"/>
    </w:pPr>
    <w:rPr>
      <w:vanish/>
    </w:rPr>
  </w:style>
  <w:style w:type="paragraph" w:styleId="b-share-popupinputlink3" w:customStyle="1">
    <w:name w:val="b-share-popup__input_link3"/>
    <w:basedOn w:val="a"/>
    <w:pPr>
      <w:spacing w:before="100" w:beforeAutospacing="1" w:after="100" w:afterAutospacing="1"/>
    </w:pPr>
    <w:rPr>
      <w:vanish/>
    </w:rPr>
  </w:style>
  <w:style w:type="paragraph" w:styleId="b-share-popupformmail1" w:customStyle="1">
    <w:name w:val="b-share-popup__form_mail1"/>
    <w:basedOn w:val="a"/>
    <w:pPr>
      <w:spacing w:before="100" w:beforeAutospacing="1" w:after="100" w:afterAutospacing="1"/>
    </w:pPr>
  </w:style>
  <w:style w:type="paragraph" w:styleId="b-share-popupformhtml1" w:customStyle="1">
    <w:name w:val="b-share-popup__form_html1"/>
    <w:basedOn w:val="a"/>
    <w:pPr>
      <w:spacing w:before="100" w:beforeAutospacing="1" w:after="100" w:afterAutospacing="1"/>
    </w:pPr>
  </w:style>
  <w:style w:type="paragraph" w:styleId="b-share-popupform1" w:customStyle="1">
    <w:name w:val="b-share-popup__form1"/>
    <w:basedOn w:val="a"/>
  </w:style>
  <w:style w:type="paragraph" w:styleId="b-share-popupitem2" w:customStyle="1">
    <w:name w:val="b-share-popup__item2"/>
    <w:basedOn w:val="a"/>
    <w:pPr>
      <w:shd w:val="clear" w:color="auto" w:fill="ffffff"/>
      <w:spacing w:before="100" w:beforeAutospacing="1" w:after="100" w:afterAutospacing="1" w:line="300" w:lineRule="atLeast"/>
    </w:pPr>
    <w:rPr>
      <w:rFonts w:ascii="Arial" w:hAnsi="Arial" w:cs="Arial"/>
      <w:sz w:val="14"/>
      <w:szCs w:val="14"/>
    </w:rPr>
  </w:style>
  <w:style w:type="paragraph" w:styleId="b-share-popupheader1" w:customStyle="1">
    <w:name w:val="b-share-popup__header1"/>
    <w:basedOn w:val="a"/>
    <w:pPr>
      <w:spacing w:before="100" w:beforeAutospacing="1" w:after="100" w:afterAutospacing="1" w:line="240" w:lineRule="atLeast"/>
    </w:pPr>
    <w:rPr>
      <w:rFonts w:ascii="Verdana" w:hAnsi="Verdana" w:cs="Verdana"/>
      <w:color w:val="999999"/>
      <w:sz w:val="13"/>
      <w:szCs w:val="13"/>
    </w:rPr>
  </w:style>
  <w:style w:type="paragraph" w:styleId="b-share-popupinput1" w:customStyle="1">
    <w:name w:val="b-share-popup__input1"/>
    <w:basedOn w:val="a"/>
    <w:pPr>
      <w:spacing w:before="100" w:beforeAutospacing="1" w:after="100" w:afterAutospacing="1" w:line="240" w:lineRule="atLeast"/>
    </w:pPr>
    <w:rPr>
      <w:rFonts w:ascii="Verdana" w:hAnsi="Verdana" w:cs="Verdana"/>
      <w:color w:val="999999"/>
      <w:sz w:val="13"/>
      <w:szCs w:val="13"/>
    </w:rPr>
  </w:style>
  <w:style w:type="paragraph" w:styleId="b-share-popupitem3" w:customStyle="1">
    <w:name w:val="b-share-popup__item3"/>
    <w:basedOn w:val="a"/>
    <w:pPr>
      <w:shd w:val="clear" w:color="auto" w:fill="ffffff"/>
      <w:spacing w:before="120" w:line="240" w:lineRule="atLeast"/>
    </w:pPr>
    <w:rPr>
      <w:rFonts w:ascii="Verdana" w:hAnsi="Verdana" w:cs="Verdana"/>
      <w:color w:val="999999"/>
      <w:sz w:val="13"/>
      <w:szCs w:val="13"/>
    </w:rPr>
  </w:style>
  <w:style w:type="paragraph" w:styleId="b-share-popupformlink1" w:customStyle="1">
    <w:name w:val="b-share-popup__form__link1"/>
    <w:basedOn w:val="a"/>
    <w:pPr>
      <w:spacing w:after="60" w:line="348" w:lineRule="atLeast"/>
      <w:ind w:left="120"/>
    </w:pPr>
    <w:rPr>
      <w:rFonts w:ascii="Verdana" w:hAnsi="Verdana" w:cs="Verdana"/>
      <w:color w:val="1a3dc1"/>
      <w:sz w:val="13"/>
      <w:szCs w:val="13"/>
      <w:u w:val="single"/>
    </w:rPr>
  </w:style>
  <w:style w:type="paragraph" w:styleId="b-share-popupformbutton1" w:customStyle="1">
    <w:name w:val="b-share-popup__form__button1"/>
    <w:basedOn w:val="a"/>
    <w:pPr>
      <w:spacing w:before="60" w:line="348" w:lineRule="atLeast"/>
      <w:ind w:left="180"/>
    </w:pPr>
    <w:rPr>
      <w:rFonts w:ascii="Verdana" w:hAnsi="Verdana" w:cs="Verdana"/>
      <w:sz w:val="13"/>
      <w:szCs w:val="13"/>
    </w:rPr>
  </w:style>
  <w:style w:type="paragraph" w:styleId="b-share-popupformclose1" w:customStyle="1">
    <w:name w:val="b-share-popup__form__close1"/>
    <w:basedOn w:val="a"/>
    <w:pPr>
      <w:spacing w:after="60" w:line="348" w:lineRule="atLeast"/>
      <w:ind w:right="120"/>
    </w:pPr>
    <w:rPr>
      <w:rFonts w:ascii="Verdana" w:hAnsi="Verdana" w:cs="Verdana"/>
      <w:color w:val="999999"/>
      <w:sz w:val="13"/>
      <w:szCs w:val="13"/>
    </w:rPr>
  </w:style>
  <w:style w:type="paragraph" w:styleId="b-share-popupyandex1" w:customStyle="1">
    <w:name w:val="b-share-popup__yandex1"/>
    <w:basedOn w:val="a"/>
    <w:pPr>
      <w:spacing w:before="100" w:beforeAutospacing="1" w:after="100" w:afterAutospacing="1" w:line="240" w:lineRule="atLeast"/>
    </w:pPr>
    <w:rPr>
      <w:rFonts w:ascii="Verdana" w:hAnsi="Verdana" w:cs="Verdana"/>
      <w:sz w:val="12"/>
      <w:szCs w:val="12"/>
    </w:rPr>
  </w:style>
  <w:style w:type="paragraph" w:styleId="b-share-form-buttonbefore1" w:customStyle="1">
    <w:name w:val="b-share-form-button__before1"/>
    <w:basedOn w:val="a"/>
    <w:pPr>
      <w:spacing w:before="100" w:beforeAutospacing="1" w:after="100" w:afterAutospacing="1"/>
      <w:ind w:left="-36"/>
    </w:pPr>
  </w:style>
  <w:style w:type="paragraph" w:styleId="b-share-form-buttonafter1" w:customStyle="1">
    <w:name w:val="b-share-form-button__after1"/>
    <w:basedOn w:val="a"/>
    <w:pPr>
      <w:spacing w:before="100" w:beforeAutospacing="1" w:after="100" w:afterAutospacing="1"/>
    </w:pPr>
  </w:style>
  <w:style w:type="paragraph" w:styleId="b-sharehandle1" w:customStyle="1">
    <w:name w:val="b-share__handle1"/>
    <w:basedOn w:val="a"/>
    <w:pPr>
      <w:spacing w:before="100" w:beforeAutospacing="1" w:after="100" w:afterAutospacing="1"/>
    </w:pPr>
  </w:style>
  <w:style w:type="paragraph" w:styleId="b-sharehandlemore1" w:customStyle="1">
    <w:name w:val="b-share__handle_more1"/>
    <w:basedOn w:val="a"/>
    <w:pPr>
      <w:spacing w:after="100" w:afterAutospacing="1"/>
      <w:ind w:right="-48"/>
    </w:pPr>
    <w:rPr>
      <w:color w:val="7b7b7b"/>
      <w:sz w:val="11"/>
      <w:szCs w:val="11"/>
    </w:rPr>
  </w:style>
  <w:style w:type="paragraph" w:styleId="b-share-icon1" w:customStyle="1">
    <w:name w:val="b-share-icon1"/>
    <w:basedOn w:val="a"/>
    <w:pPr>
      <w:spacing w:before="100" w:beforeAutospacing="1" w:after="100" w:afterAutospacing="1"/>
    </w:pPr>
  </w:style>
  <w:style w:type="paragraph" w:styleId="b-share-form-button1" w:customStyle="1">
    <w:name w:val="b-share-form-button1"/>
    <w:basedOn w:val="a"/>
    <w:pPr>
      <w:spacing w:line="204" w:lineRule="atLeast"/>
      <w:ind w:left="36" w:right="36"/>
    </w:pPr>
    <w:rPr>
      <w:rFonts w:ascii="Verdana" w:hAnsi="Verdana" w:cs="Verdana"/>
      <w:color w:val="000000"/>
    </w:rPr>
  </w:style>
  <w:style w:type="paragraph" w:styleId="b-share-icon2" w:customStyle="1">
    <w:name w:val="b-share-icon2"/>
    <w:basedOn w:val="a"/>
    <w:pPr>
      <w:ind w:right="60"/>
    </w:pPr>
  </w:style>
  <w:style w:type="paragraph" w:styleId="b-share-form-button2" w:customStyle="1">
    <w:name w:val="b-share-form-button2"/>
    <w:basedOn w:val="a"/>
    <w:pPr>
      <w:spacing w:line="204" w:lineRule="atLeast"/>
      <w:ind w:left="36" w:right="36"/>
    </w:pPr>
    <w:rPr>
      <w:rFonts w:ascii="Verdana" w:hAnsi="Verdana" w:cs="Verdana"/>
      <w:color w:val="000000"/>
      <w:sz w:val="21"/>
      <w:szCs w:val="21"/>
    </w:rPr>
  </w:style>
  <w:style w:type="paragraph" w:styleId="b-sharetext1" w:customStyle="1">
    <w:name w:val="b-share__text1"/>
    <w:basedOn w:val="a"/>
    <w:pPr>
      <w:spacing w:before="100" w:beforeAutospacing="1" w:after="100" w:afterAutospacing="1"/>
      <w:ind w:right="60"/>
    </w:pPr>
    <w:rPr>
      <w:color w:val="ff0000"/>
      <w:u w:val="single"/>
    </w:rPr>
  </w:style>
  <w:style w:type="paragraph" w:styleId="b-sharehr1" w:customStyle="1">
    <w:name w:val="b-share__hr1"/>
    <w:basedOn w:val="a"/>
    <w:pPr>
      <w:shd w:val="clear" w:color="auto" w:fill="e4e4e4"/>
      <w:ind w:left="24" w:right="36"/>
    </w:pPr>
  </w:style>
  <w:style w:type="paragraph" w:styleId="b-sharetext2" w:customStyle="1">
    <w:name w:val="b-share__text2"/>
    <w:basedOn w:val="a"/>
    <w:pPr>
      <w:spacing w:before="100" w:beforeAutospacing="1" w:after="100" w:afterAutospacing="1"/>
      <w:ind w:right="60"/>
    </w:pPr>
    <w:rPr>
      <w:color w:val="1a3dc1"/>
      <w:u w:val="single"/>
    </w:rPr>
  </w:style>
  <w:style w:type="paragraph" w:styleId="b-share-form-buttonbefore2" w:customStyle="1">
    <w:name w:val="b-share-form-button__before2"/>
    <w:basedOn w:val="a"/>
    <w:pPr>
      <w:spacing w:before="100" w:beforeAutospacing="1" w:after="100" w:afterAutospacing="1"/>
      <w:ind w:left="-348"/>
    </w:pPr>
  </w:style>
  <w:style w:type="paragraph" w:styleId="b-share-form-buttonicon1" w:customStyle="1">
    <w:name w:val="b-share-form-button__icon1"/>
    <w:basedOn w:val="a"/>
    <w:pPr>
      <w:spacing w:before="12"/>
      <w:ind w:left="-276"/>
    </w:pPr>
  </w:style>
  <w:style w:type="paragraph" w:styleId="b-share-icon3" w:customStyle="1">
    <w:name w:val="b-share-icon3"/>
    <w:basedOn w:val="a"/>
    <w:pPr>
      <w:spacing w:before="100" w:beforeAutospacing="1" w:after="100" w:afterAutospacing="1"/>
    </w:pPr>
  </w:style>
  <w:style w:type="paragraph" w:styleId="b-share-form-buttonicon2" w:customStyle="1">
    <w:name w:val="b-share-form-button__icon2"/>
    <w:basedOn w:val="a"/>
    <w:pPr>
      <w:spacing w:before="12"/>
      <w:ind w:left="-276"/>
    </w:pPr>
  </w:style>
  <w:style w:type="paragraph" w:styleId="b-share-form-button3" w:customStyle="1">
    <w:name w:val="b-share-form-button3"/>
    <w:basedOn w:val="a"/>
    <w:pPr>
      <w:spacing w:line="204" w:lineRule="atLeast"/>
      <w:ind w:left="36" w:right="36"/>
    </w:pPr>
    <w:rPr>
      <w:rFonts w:ascii="Verdana" w:hAnsi="Verdana" w:cs="Verdana"/>
      <w:color w:val="ffffff"/>
      <w:sz w:val="21"/>
      <w:szCs w:val="21"/>
    </w:rPr>
  </w:style>
  <w:style w:type="paragraph" w:styleId="b-share-popupi1" w:customStyle="1">
    <w:name w:val="b-share-popup__i1"/>
    <w:basedOn w:val="a"/>
    <w:pPr>
      <w:shd w:val="clear" w:color="auto" w:fill="333333"/>
      <w:spacing w:before="100" w:beforeAutospacing="1" w:after="100" w:afterAutospacing="1"/>
    </w:pPr>
  </w:style>
  <w:style w:type="paragraph" w:styleId="b-sharetext3" w:customStyle="1">
    <w:name w:val="b-share__text3"/>
    <w:basedOn w:val="a"/>
    <w:pPr>
      <w:spacing w:before="100" w:beforeAutospacing="1" w:after="100" w:afterAutospacing="1"/>
      <w:ind w:right="60"/>
    </w:pPr>
    <w:rPr>
      <w:color w:val="aaaaaa"/>
    </w:rPr>
  </w:style>
  <w:style w:type="paragraph" w:styleId="b-share-popup1" w:customStyle="1">
    <w:name w:val="b-share-popup1"/>
    <w:basedOn w:val="a"/>
    <w:pPr>
      <w:pBdr>
        <w:top w:val="single" w:color="888888" w:sz="4" w:space="0"/>
        <w:left w:val="single" w:color="888888" w:sz="4" w:space="0"/>
        <w:bottom w:val="single" w:color="888888" w:sz="4" w:space="0"/>
        <w:right w:val="single" w:color="888888" w:sz="4" w:space="0"/>
      </w:pBdr>
      <w:shd w:val="clear" w:color="auto" w:fill="ffffff"/>
      <w:spacing w:before="100" w:beforeAutospacing="1" w:after="100" w:afterAutospacing="1"/>
    </w:pPr>
    <w:rPr>
      <w:color w:val="aaaaaa"/>
    </w:rPr>
  </w:style>
  <w:style w:type="paragraph" w:styleId="b-share-popupitem4" w:customStyle="1">
    <w:name w:val="b-share-popup__item4"/>
    <w:basedOn w:val="a"/>
    <w:pPr>
      <w:shd w:val="clear" w:color="auto" w:fill="ffffff"/>
      <w:spacing w:before="100" w:beforeAutospacing="1" w:after="100" w:afterAutospacing="1" w:line="300" w:lineRule="atLeast"/>
    </w:pPr>
    <w:rPr>
      <w:rFonts w:ascii="Arial" w:hAnsi="Arial" w:cs="Arial"/>
      <w:color w:val="cccccc"/>
    </w:rPr>
  </w:style>
  <w:style w:type="paragraph" w:styleId="b-share-popupitemtext4" w:customStyle="1">
    <w:name w:val="b-share-popup__item__text4"/>
    <w:basedOn w:val="a"/>
    <w:pPr>
      <w:spacing w:before="100" w:beforeAutospacing="1" w:after="100" w:afterAutospacing="1"/>
    </w:pPr>
    <w:rPr>
      <w:color w:val="cccccc"/>
    </w:rPr>
  </w:style>
  <w:style w:type="paragraph" w:styleId="b-share1" w:customStyle="1">
    <w:name w:val="b-share1"/>
    <w:basedOn w:val="a"/>
    <w:pPr>
      <w:spacing w:before="100" w:beforeAutospacing="1" w:after="100" w:afterAutospacing="1" w:line="348" w:lineRule="atLeast"/>
    </w:pPr>
    <w:rPr>
      <w:rFonts w:ascii="Arial" w:hAnsi="Arial" w:cs="Arial"/>
      <w:sz w:val="21"/>
      <w:szCs w:val="21"/>
    </w:rPr>
  </w:style>
  <w:style w:type="paragraph" w:styleId="b-share-counter1" w:customStyle="1">
    <w:name w:val="b-share-counter1"/>
    <w:basedOn w:val="a"/>
    <w:pPr>
      <w:spacing w:before="24" w:after="24" w:line="168" w:lineRule="atLeast"/>
      <w:ind w:left="12" w:right="72"/>
    </w:pPr>
    <w:rPr>
      <w:rFonts w:ascii="Arial" w:hAnsi="Arial" w:cs="Arial"/>
      <w:vanish/>
      <w:color w:val="ffffff"/>
      <w:sz w:val="13"/>
      <w:szCs w:val="13"/>
    </w:rPr>
  </w:style>
  <w:style w:type="paragraph" w:styleId="b-share-counter2" w:customStyle="1">
    <w:name w:val="b-share-counter2"/>
    <w:basedOn w:val="a"/>
    <w:pPr>
      <w:spacing w:before="36" w:after="36" w:line="216" w:lineRule="atLeast"/>
      <w:ind w:left="36" w:right="72"/>
    </w:pPr>
    <w:rPr>
      <w:rFonts w:ascii="Arial" w:hAnsi="Arial" w:cs="Arial"/>
      <w:color w:val="ffffff"/>
      <w:sz w:val="17"/>
      <w:szCs w:val="17"/>
    </w:rPr>
  </w:style>
  <w:style w:type="paragraph" w:styleId="b-share-btnwrap1" w:customStyle="1">
    <w:name w:val="b-share-btn__wrap1"/>
    <w:basedOn w:val="a"/>
    <w:pPr>
      <w:spacing w:before="100" w:beforeAutospacing="1" w:after="100" w:afterAutospacing="1"/>
      <w:ind w:left="60"/>
    </w:pPr>
  </w:style>
  <w:style w:type="paragraph" w:styleId="b-share-btnwrap2" w:customStyle="1">
    <w:name w:val="b-share-btn__wrap2"/>
    <w:basedOn w:val="a"/>
    <w:pPr>
      <w:spacing w:before="100" w:beforeAutospacing="1" w:after="100" w:afterAutospacing="1"/>
      <w:ind w:left="48"/>
    </w:pPr>
  </w:style>
  <w:style w:type="paragraph" w:styleId="b-share-icon4" w:customStyle="1">
    <w:name w:val="b-share-icon4"/>
    <w:basedOn w:val="a"/>
    <w:pPr>
      <w:spacing w:before="100" w:beforeAutospacing="1" w:after="100" w:afterAutospacing="1"/>
    </w:pPr>
  </w:style>
  <w:style w:type="paragraph" w:styleId="b-share-icon5" w:customStyle="1">
    <w:name w:val="b-share-icon5"/>
    <w:basedOn w:val="a"/>
    <w:pPr>
      <w:spacing w:before="100" w:beforeAutospacing="1" w:after="100" w:afterAutospacing="1"/>
    </w:pPr>
  </w:style>
  <w:style w:type="paragraph" w:styleId="b-share-btnfacebook1" w:customStyle="1">
    <w:name w:val="b-share-btn__facebook1"/>
    <w:basedOn w:val="a"/>
    <w:pPr>
      <w:shd w:val="clear" w:color="auto" w:fill="3c5a98"/>
      <w:spacing w:before="100" w:beforeAutospacing="1" w:after="100" w:afterAutospacing="1"/>
    </w:pPr>
  </w:style>
  <w:style w:type="paragraph" w:styleId="b-share-btnfacebook2" w:customStyle="1">
    <w:name w:val="b-share-btn__facebook2"/>
    <w:basedOn w:val="a"/>
    <w:pPr>
      <w:shd w:val="clear" w:color="auto" w:fill="30487a"/>
      <w:spacing w:before="100" w:beforeAutospacing="1" w:after="100" w:afterAutospacing="1"/>
    </w:pPr>
  </w:style>
  <w:style w:type="paragraph" w:styleId="b-share-btnmoimir1" w:customStyle="1">
    <w:name w:val="b-share-btn__moimir1"/>
    <w:basedOn w:val="a"/>
    <w:pPr>
      <w:shd w:val="clear" w:color="auto" w:fill="226eb7"/>
      <w:spacing w:before="100" w:beforeAutospacing="1" w:after="100" w:afterAutospacing="1"/>
    </w:pPr>
  </w:style>
  <w:style w:type="paragraph" w:styleId="b-share-btnmoimir2" w:customStyle="1">
    <w:name w:val="b-share-btn__moimir2"/>
    <w:basedOn w:val="a"/>
    <w:pPr>
      <w:shd w:val="clear" w:color="auto" w:fill="1b5892"/>
      <w:spacing w:before="100" w:beforeAutospacing="1" w:after="100" w:afterAutospacing="1"/>
    </w:pPr>
  </w:style>
  <w:style w:type="paragraph" w:styleId="b-share-btnvkontakte1" w:customStyle="1">
    <w:name w:val="b-share-btn__vkontakte1"/>
    <w:basedOn w:val="a"/>
    <w:pPr>
      <w:shd w:val="clear" w:color="auto" w:fill="48729e"/>
      <w:spacing w:before="100" w:beforeAutospacing="1" w:after="100" w:afterAutospacing="1"/>
    </w:pPr>
  </w:style>
  <w:style w:type="paragraph" w:styleId="b-share-btnvkontakte2" w:customStyle="1">
    <w:name w:val="b-share-btn__vkontakte2"/>
    <w:basedOn w:val="a"/>
    <w:pPr>
      <w:shd w:val="clear" w:color="auto" w:fill="3a5b7e"/>
      <w:spacing w:before="100" w:beforeAutospacing="1" w:after="100" w:afterAutospacing="1"/>
    </w:pPr>
  </w:style>
  <w:style w:type="paragraph" w:styleId="b-share-btntwitter1" w:customStyle="1">
    <w:name w:val="b-share-btn__twitter1"/>
    <w:basedOn w:val="a"/>
    <w:pPr>
      <w:shd w:val="clear" w:color="auto" w:fill="00aced"/>
      <w:spacing w:before="100" w:beforeAutospacing="1" w:after="100" w:afterAutospacing="1"/>
    </w:pPr>
  </w:style>
  <w:style w:type="paragraph" w:styleId="b-share-btntwitter2" w:customStyle="1">
    <w:name w:val="b-share-btn__twitter2"/>
    <w:basedOn w:val="a"/>
    <w:pPr>
      <w:shd w:val="clear" w:color="auto" w:fill="008abe"/>
      <w:spacing w:before="100" w:beforeAutospacing="1" w:after="100" w:afterAutospacing="1"/>
    </w:pPr>
  </w:style>
  <w:style w:type="paragraph" w:styleId="b-share-btnodnoklassniki1" w:customStyle="1">
    <w:name w:val="b-share-btn__odnoklassniki1"/>
    <w:basedOn w:val="a"/>
    <w:pPr>
      <w:shd w:val="clear" w:color="auto" w:fill="ff9f4d"/>
      <w:spacing w:before="100" w:beforeAutospacing="1" w:after="100" w:afterAutospacing="1"/>
    </w:pPr>
  </w:style>
  <w:style w:type="paragraph" w:styleId="b-share-btnodnoklassniki2" w:customStyle="1">
    <w:name w:val="b-share-btn__odnoklassniki2"/>
    <w:basedOn w:val="a"/>
    <w:pPr>
      <w:shd w:val="clear" w:color="auto" w:fill="cc7f3e"/>
      <w:spacing w:before="100" w:beforeAutospacing="1" w:after="100" w:afterAutospacing="1"/>
    </w:pPr>
  </w:style>
  <w:style w:type="paragraph" w:styleId="b-share-btngplus1" w:customStyle="1">
    <w:name w:val="b-share-btn__gplus1"/>
    <w:basedOn w:val="a"/>
    <w:pPr>
      <w:shd w:val="clear" w:color="auto" w:fill="c25234"/>
      <w:spacing w:before="100" w:beforeAutospacing="1" w:after="100" w:afterAutospacing="1"/>
    </w:pPr>
  </w:style>
  <w:style w:type="paragraph" w:styleId="b-share-btngplus2" w:customStyle="1">
    <w:name w:val="b-share-btn__gplus2"/>
    <w:basedOn w:val="a"/>
    <w:pPr>
      <w:shd w:val="clear" w:color="auto" w:fill="9b422a"/>
      <w:spacing w:before="100" w:beforeAutospacing="1" w:after="100" w:afterAutospacing="1"/>
    </w:pPr>
  </w:style>
  <w:style w:type="paragraph" w:styleId="b-share-btnyaru1" w:customStyle="1">
    <w:name w:val="b-share-btn__yaru1"/>
    <w:basedOn w:val="a"/>
    <w:pPr>
      <w:shd w:val="clear" w:color="auto" w:fill="d83933"/>
      <w:spacing w:before="100" w:beforeAutospacing="1" w:after="100" w:afterAutospacing="1"/>
    </w:pPr>
  </w:style>
  <w:style w:type="paragraph" w:styleId="b-share-btnyaru2" w:customStyle="1">
    <w:name w:val="b-share-btn__yaru2"/>
    <w:basedOn w:val="a"/>
    <w:pPr>
      <w:shd w:val="clear" w:color="auto" w:fill="ad2e29"/>
      <w:spacing w:before="100" w:beforeAutospacing="1" w:after="100" w:afterAutospacing="1"/>
    </w:pPr>
  </w:style>
  <w:style w:type="paragraph" w:styleId="b-share-btnpinterest1" w:customStyle="1">
    <w:name w:val="b-share-btn__pinterest1"/>
    <w:basedOn w:val="a"/>
    <w:pPr>
      <w:shd w:val="clear" w:color="auto" w:fill="cd1e27"/>
      <w:spacing w:before="100" w:beforeAutospacing="1" w:after="100" w:afterAutospacing="1"/>
    </w:pPr>
  </w:style>
  <w:style w:type="paragraph" w:styleId="b-share-btnpinterest2" w:customStyle="1">
    <w:name w:val="b-share-btn__pinterest2"/>
    <w:basedOn w:val="a"/>
    <w:pPr>
      <w:shd w:val="clear" w:color="auto" w:fill="a4181f"/>
      <w:spacing w:before="100" w:beforeAutospacing="1" w:after="100" w:afterAutospacing="1"/>
    </w:pPr>
  </w:style>
  <w:style w:type="paragraph" w:styleId="b-sharehandle2" w:customStyle="1">
    <w:name w:val="b-share__handle2"/>
    <w:basedOn w:val="a"/>
    <w:pPr>
      <w:spacing w:before="100" w:beforeAutospacing="1" w:after="100" w:afterAutospacing="1"/>
    </w:pPr>
  </w:style>
  <w:style w:type="paragraph" w:styleId="sctblock71123title1" w:customStyle="1">
    <w:name w:val="sc_tblock_71123_title1"/>
    <w:basedOn w:val="a"/>
    <w:pPr>
      <w:spacing w:before="100" w:beforeAutospacing="1" w:after="100" w:afterAutospacing="1"/>
    </w:pPr>
    <w:rPr>
      <w:rFonts w:ascii="Verdana" w:hAnsi="Verdana" w:cs="Verdana"/>
      <w:color w:val="717eeb"/>
      <w:sz w:val="14"/>
      <w:szCs w:val="14"/>
    </w:rPr>
  </w:style>
  <w:style w:type="paragraph" w:styleId="sctblock71123title2" w:customStyle="1">
    <w:name w:val="sc_tblock_71123_title2"/>
    <w:basedOn w:val="a"/>
    <w:pPr>
      <w:spacing w:before="100" w:beforeAutospacing="1" w:after="100" w:afterAutospacing="1"/>
    </w:pPr>
    <w:rPr>
      <w:rFonts w:ascii="Verdana" w:hAnsi="Verdana" w:cs="Verdana"/>
      <w:color w:val="ff9200"/>
      <w:sz w:val="14"/>
      <w:szCs w:val="14"/>
    </w:rPr>
  </w:style>
  <w:style w:type="paragraph" w:styleId="sctblock71123title-hover1" w:customStyle="1">
    <w:name w:val="sc_tblock_71123_title-hover1"/>
    <w:basedOn w:val="a"/>
    <w:pPr>
      <w:spacing w:before="100" w:beforeAutospacing="1" w:after="100" w:afterAutospacing="1"/>
    </w:pPr>
    <w:rPr>
      <w:rFonts w:ascii="Verdana" w:hAnsi="Verdana" w:cs="Verdana"/>
      <w:color w:val="ff9200"/>
      <w:sz w:val="14"/>
      <w:szCs w:val="14"/>
    </w:rPr>
  </w:style>
  <w:style w:type="character" w:styleId="author" w:customStyle="1">
    <w:name w:val="author"/>
    <w:rPr>
      <w:rFonts w:cs="Times New Roman"/>
    </w:rPr>
  </w:style>
  <w:style w:type="character" w:styleId="tag" w:customStyle="1">
    <w:name w:val="tag"/>
    <w:rPr>
      <w:rFonts w:cs="Times New Roman"/>
    </w:rPr>
  </w:style>
  <w:style w:type="character" w:styleId="b-share2" w:customStyle="1">
    <w:name w:val="b-share2"/>
    <w:rPr>
      <w:rFonts w:ascii="Arial" w:hAnsi="Arial" w:cs="Arial"/>
      <w:sz w:val="21"/>
      <w:szCs w:val="21"/>
    </w:rPr>
  </w:style>
  <w:style w:type="character" w:styleId="b-share-btnwrap3" w:customStyle="1">
    <w:name w:val="b-share-btn__wrap3"/>
    <w:rPr>
      <w:rFonts w:cs="Times New Roman"/>
    </w:rPr>
  </w:style>
  <w:style w:type="character" w:styleId="b-share-icon6" w:customStyle="1">
    <w:name w:val="b-share-icon6"/>
    <w:rPr>
      <w:rFonts w:cs="Times New Roman"/>
    </w:rPr>
  </w:style>
  <w:style w:type="character" w:styleId="b-share-counter3" w:customStyle="1">
    <w:name w:val="b-share-counter3"/>
    <w:rPr>
      <w:rFonts w:ascii="Arial" w:hAnsi="Arial" w:cs="Arial"/>
      <w:vanish/>
      <w:color w:val="ffffff"/>
      <w:sz w:val="17"/>
      <w:szCs w:val="17"/>
    </w:rPr>
  </w:style>
  <w:style w:type="character" w:styleId="rating" w:customStyle="1">
    <w:name w:val="rating"/>
    <w:rPr>
      <w:rFonts w:cs="Times New Roman"/>
    </w:rPr>
  </w:style>
  <w:style w:type="character" w:styleId="average" w:customStyle="1">
    <w:name w:val="average"/>
    <w:rPr>
      <w:rFonts w:cs="Times New Roman"/>
    </w:rPr>
  </w:style>
  <w:style w:type="character" w:styleId="post-ratings-text" w:customStyle="1">
    <w:name w:val="post-ratings-text"/>
    <w:rPr>
      <w:rFonts w:cs="Times New Roman"/>
    </w:rPr>
  </w:style>
  <w:style w:type="paragraph" w:styleId="z-">
    <w:name w:val="HTML Top of Form"/>
    <w:basedOn w:val="a"/>
    <w:next w:val="a"/>
    <w:link w:val="z-0"/>
    <w:hidden/>
    <w:pPr>
      <w:pBdr>
        <w:bottom w:val="single" w:color="000000" w:sz="6" w:space="1"/>
      </w:pBdr>
      <w:jc w:val="center"/>
    </w:pPr>
    <w:rPr>
      <w:rFonts w:ascii="Arial" w:hAnsi="Arial"/>
      <w:vanish/>
      <w:sz w:val="16"/>
      <w:szCs w:val="16"/>
    </w:rPr>
  </w:style>
  <w:style w:type="character" w:styleId="z-0" w:customStyle="1">
    <w:name w:val="z-Начало формы Знак"/>
    <w:link w:val="z-"/>
    <w:rPr>
      <w:rFonts w:ascii="Arial" w:hAnsi="Arial"/>
      <w:vanish/>
      <w:sz w:val="16"/>
      <w:szCs w:val="16"/>
    </w:rPr>
  </w:style>
  <w:style w:type="paragraph" w:styleId="z-1">
    <w:name w:val="HTML Bottom of Form"/>
    <w:basedOn w:val="a"/>
    <w:next w:val="a"/>
    <w:link w:val="z-2"/>
    <w:hidden/>
    <w:pPr>
      <w:pBdr>
        <w:top w:val="single" w:color="000000" w:sz="6" w:space="1"/>
      </w:pBdr>
      <w:jc w:val="center"/>
    </w:pPr>
    <w:rPr>
      <w:rFonts w:ascii="Arial" w:hAnsi="Arial"/>
      <w:vanish/>
      <w:sz w:val="16"/>
      <w:szCs w:val="16"/>
    </w:rPr>
  </w:style>
  <w:style w:type="character" w:styleId="z-2" w:customStyle="1">
    <w:name w:val="z-Конец формы Знак"/>
    <w:link w:val="z-1"/>
    <w:rPr>
      <w:rFonts w:ascii="Arial" w:hAnsi="Arial"/>
      <w:vanish/>
      <w:sz w:val="16"/>
      <w:szCs w:val="16"/>
    </w:rPr>
  </w:style>
  <w:style w:type="character" w:styleId="reviewcount" w:customStyle="1">
    <w:name w:val="reviewcount"/>
    <w:rPr>
      <w:rFonts w:cs="Times New Roman"/>
    </w:rPr>
  </w:style>
  <w:style w:type="character" w:styleId="rating-stars-small1" w:customStyle="1">
    <w:name w:val="rating-stars-small1"/>
    <w:rPr>
      <w:rFonts w:cs="Times New Roman"/>
      <w:shd w:val="clear" w:color="auto" w:fill="auto"/>
    </w:rPr>
  </w:style>
  <w:style w:type="character" w:styleId="ratingcount" w:customStyle="1">
    <w:name w:val="ratingcount"/>
    <w:rPr>
      <w:rFonts w:cs="Times New Roman"/>
    </w:rPr>
  </w:style>
  <w:style w:type="character" w:styleId="close3" w:customStyle="1">
    <w:name w:val="close3"/>
    <w:rPr>
      <w:rFonts w:cs="Times New Roman"/>
      <w:shd w:val="clear" w:color="auto" w:fill="auto"/>
    </w:rPr>
  </w:style>
  <w:style w:type="character" w:styleId="title2" w:customStyle="1">
    <w:name w:val="title2"/>
    <w:rPr>
      <w:rFonts w:cs="Times New Roman"/>
    </w:rPr>
  </w:style>
  <w:style w:type="character" w:styleId="aff7">
    <w:name w:val="Emphasis"/>
    <w:uiPriority w:val="20"/>
    <w:qFormat/>
    <w:rPr>
      <w:rFonts w:cs="Times New Roman"/>
      <w:i/>
      <w:iCs/>
    </w:rPr>
  </w:style>
  <w:style w:type="paragraph" w:styleId="16" w:customStyle="1">
    <w:name w:val="Основной текст1"/>
    <w:basedOn w:val="a"/>
    <w:link w:val="aff8"/>
    <w:pPr>
      <w:widowControl w:val="off"/>
      <w:shd w:val="clear" w:color="auto" w:fill="ffffff"/>
      <w:spacing w:after="300" w:line="322" w:lineRule="exact"/>
    </w:pPr>
    <w:rPr>
      <w:sz w:val="26"/>
      <w:szCs w:val="26"/>
    </w:rPr>
  </w:style>
  <w:style w:type="paragraph" w:styleId="17" w:customStyle="1">
    <w:name w:val="Абзац списка1"/>
    <w:basedOn w:val="a"/>
    <w:link w:val="aff9"/>
    <w:uiPriority w:val="34"/>
    <w:qFormat/>
    <w:pPr>
      <w:spacing w:after="200" w:line="276" w:lineRule="auto"/>
      <w:ind w:left="720"/>
      <w:contextualSpacing/>
    </w:pPr>
    <w:rPr>
      <w:rFonts w:ascii="Calibri" w:hAnsi="Calibri" w:eastAsia="Calibri"/>
      <w:sz w:val="22"/>
      <w:szCs w:val="22"/>
      <w:lang w:eastAsia="en-US"/>
    </w:rPr>
  </w:style>
  <w:style w:type="character" w:styleId="aff9" w:customStyle="1">
    <w:name w:val="Абзац списка Знак"/>
    <w:link w:val="17"/>
    <w:uiPriority w:val="34"/>
    <w:rPr>
      <w:rFonts w:ascii="Calibri" w:hAnsi="Calibri" w:eastAsia="Calibri"/>
      <w:sz w:val="22"/>
      <w:szCs w:val="22"/>
      <w:lang w:eastAsia="en-US"/>
    </w:rPr>
  </w:style>
  <w:style w:type="character" w:styleId="extended-textshort" w:customStyle="1">
    <w:name w:val="extended-text__short"/>
  </w:style>
  <w:style w:type="character" w:styleId="link" w:customStyle="1">
    <w:name w:val="link"/>
  </w:style>
  <w:style w:type="character" w:styleId="affa" w:customStyle="1">
    <w:name w:val="Гипертекстовая ссылка"/>
    <w:uiPriority w:val="99"/>
    <w:rPr>
      <w:color w:val="106bbe"/>
    </w:rPr>
  </w:style>
  <w:style w:type="character" w:styleId="afe" w:customStyle="1">
    <w:name w:val="Обычный (веб) Знак"/>
    <w:link w:val="afd"/>
    <w:rPr>
      <w:spacing w:val="-4"/>
      <w:sz w:val="24"/>
      <w:szCs w:val="24"/>
    </w:rPr>
  </w:style>
  <w:style w:type="paragraph" w:styleId="18" w:customStyle="1">
    <w:name w:val="Обычный (веб)1"/>
    <w:basedOn w:val="a"/>
    <w:pPr>
      <w:spacing w:before="100" w:after="100"/>
    </w:pPr>
    <w:rPr>
      <w:rFonts w:ascii="Tahoma" w:hAnsi="Tahoma"/>
      <w:sz w:val="16"/>
      <w:szCs w:val="20"/>
      <w:lang w:val="en-US"/>
    </w:rPr>
  </w:style>
  <w:style w:type="character" w:styleId="affb" w:customStyle="1">
    <w:name w:val="Без интервала Знак"/>
    <w:link w:val="affc"/>
    <w:rPr>
      <w:rFonts w:ascii="Calibri" w:hAnsi="Calibri"/>
      <w:sz w:val="22"/>
      <w:szCs w:val="22"/>
      <w:lang w:val="ru-RU" w:eastAsia="ru-RU" w:bidi="ar-SA"/>
    </w:rPr>
  </w:style>
  <w:style w:type="paragraph" w:styleId="29" w:customStyle="1">
    <w:name w:val="Знак Знак Знак Знак Знак Знак Знак Знак Знак Знак2"/>
    <w:basedOn w:val="a"/>
    <w:pPr>
      <w:spacing w:before="100" w:beforeAutospacing="1" w:after="100" w:afterAutospacing="1"/>
    </w:pPr>
    <w:rPr>
      <w:rFonts w:ascii="Tahoma" w:hAnsi="Tahoma" w:cs="Tahoma"/>
      <w:sz w:val="20"/>
      <w:szCs w:val="20"/>
      <w:lang w:val="en-US" w:eastAsia="en-US"/>
    </w:rPr>
  </w:style>
  <w:style w:type="paragraph" w:styleId="37" w:customStyle="1">
    <w:name w:val="Основной текст3"/>
    <w:basedOn w:val="a"/>
    <w:pPr>
      <w:widowControl w:val="off"/>
      <w:shd w:val="clear" w:color="auto" w:fill="ffffff"/>
      <w:spacing w:before="180" w:line="317" w:lineRule="exact"/>
      <w:jc w:val="both"/>
    </w:pPr>
    <w:rPr>
      <w:rFonts w:ascii="Calibri" w:hAnsi="Calibri" w:eastAsia="Calibri"/>
      <w:sz w:val="26"/>
      <w:szCs w:val="26"/>
      <w:lang w:eastAsia="en-US"/>
    </w:rPr>
  </w:style>
  <w:style w:type="character" w:styleId="affd" w:customStyle="1">
    <w:name w:val="Основной текст + Полужирный"/>
    <w:rPr>
      <w:rFonts w:hint="default" w:ascii="Times New Roman" w:hAnsi="Times New Roman" w:eastAsia="Times New Roman" w:cs="Times New Roman"/>
      <w:b/>
      <w:bCs/>
      <w:i w:val="0"/>
      <w:iCs w:val="0"/>
      <w:smallCaps w:val="0"/>
      <w:strike w:val="0"/>
      <w:color w:val="000000"/>
      <w:spacing w:val="0"/>
      <w:position w:val="0"/>
      <w:sz w:val="26"/>
      <w:szCs w:val="26"/>
      <w:u w:val="none"/>
      <w:lang w:val="ru-RU" w:eastAsia="ru-RU" w:bidi="ru-RU"/>
    </w:rPr>
  </w:style>
  <w:style w:type="character" w:styleId="aff8" w:customStyle="1">
    <w:name w:val="Основной текст_"/>
    <w:link w:val="16"/>
    <w:rPr>
      <w:sz w:val="26"/>
      <w:szCs w:val="26"/>
      <w:shd w:val="clear" w:color="auto" w:fill="ffffff"/>
    </w:rPr>
  </w:style>
  <w:style w:type="table" w:styleId="affe" w:customStyle="1">
    <w:name w:val="СиПР"/>
    <w:basedOn w:val="a1"/>
    <w:pPr>
      <w:jc w:val="center"/>
    </w:pPr>
    <w:rPr>
      <w:rFonts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vAlign w:val="center"/>
    </w:tcPr>
    <w:tblStylePr w:type="firstRow">
      <w:tcPr>
        <w:shd w:val="clear" w:color="auto" w:fill="1f497d"/>
      </w:tcPr>
    </w:tblStylePr>
    <w:tblStylePr w:type="firstCol">
      <w:pPr>
        <w:jc w:val="left"/>
      </w:pPr>
    </w:tblStylePr>
  </w:style>
  <w:style w:type="paragraph" w:styleId="affc">
    <w:name w:val="No Spacing"/>
    <w:link w:val="affb"/>
    <w:qFormat/>
    <w:rPr>
      <w:rFonts w:ascii="Calibri" w:hAnsi="Calibri"/>
      <w:sz w:val="22"/>
      <w:szCs w:val="22"/>
    </w:rPr>
  </w:style>
  <w:style w:type="paragraph" w:styleId="afff" w:customStyle="1">
    <w:name w:val="Информация об изменениях"/>
    <w:basedOn w:val="a"/>
    <w:next w:val="a"/>
    <w:uiPriority w:val="99"/>
    <w:pPr>
      <w:spacing w:before="180"/>
      <w:ind w:left="360" w:right="360"/>
      <w:jc w:val="both"/>
    </w:pPr>
    <w:rPr>
      <w:rFonts w:ascii="Arial" w:hAnsi="Arial" w:cs="Arial"/>
      <w:color w:val="353842"/>
      <w:sz w:val="18"/>
      <w:szCs w:val="18"/>
      <w:shd w:val="clear" w:color="auto" w:fill="eaefed"/>
    </w:rPr>
  </w:style>
  <w:style w:type="paragraph" w:styleId="afff0" w:customStyle="1">
    <w:name w:val="Подзаголовок для информации об изменениях"/>
    <w:basedOn w:val="a"/>
    <w:next w:val="a"/>
    <w:uiPriority w:val="99"/>
    <w:pPr>
      <w:ind w:firstLine="720"/>
      <w:jc w:val="both"/>
    </w:pPr>
    <w:rPr>
      <w:rFonts w:ascii="Arial" w:hAnsi="Arial" w:cs="Arial"/>
      <w:b/>
      <w:bCs/>
      <w:color w:val="353842"/>
      <w:sz w:val="18"/>
      <w:szCs w:val="18"/>
    </w:rPr>
  </w:style>
  <w:style w:type="character" w:styleId="extended-textfull" w:customStyle="1">
    <w:name w:val="extended-text__full"/>
  </w:style>
  <w:style w:type="character" w:styleId="bx-messenger-ajax" w:customStyle="1">
    <w:name w:val="bx-messenger-ajax"/>
  </w:style>
  <w:style w:type="character" w:styleId="afff1">
    <w:name w:val="FollowedHyperlink"/>
    <w:rPr>
      <w:color w:val="800080"/>
      <w:u w:val="single"/>
    </w:rPr>
  </w:style>
  <w:style w:type="paragraph" w:styleId="ConsPlusTitle" w:customStyle="1">
    <w:name w:val="ConsPlusTitle"/>
    <w:pPr>
      <w:widowControl w:val="off"/>
    </w:pPr>
    <w:rPr>
      <w:rFonts w:ascii="Calibri" w:hAnsi="Calibri" w:cs="Calibri"/>
      <w:b/>
      <w:sz w:val="22"/>
    </w:rPr>
  </w:style>
  <w:style w:type="character" w:styleId="afff2">
    <w:name w:val="annotation reference"/>
    <w:rPr>
      <w:sz w:val="16"/>
      <w:szCs w:val="16"/>
    </w:rPr>
  </w:style>
  <w:style w:type="paragraph" w:styleId="afff3">
    <w:name w:val="annotation text"/>
    <w:basedOn w:val="a"/>
    <w:link w:val="afff4"/>
    <w:rPr>
      <w:sz w:val="20"/>
      <w:szCs w:val="20"/>
    </w:rPr>
  </w:style>
  <w:style w:type="character" w:styleId="afff4" w:customStyle="1">
    <w:name w:val="Текст примечания Знак"/>
    <w:basedOn w:val="a0"/>
    <w:link w:val="afff3"/>
  </w:style>
  <w:style w:type="paragraph" w:styleId="afff5">
    <w:name w:val="annotation subject"/>
    <w:basedOn w:val="afff3"/>
    <w:next w:val="afff3"/>
    <w:link w:val="afff6"/>
    <w:rPr>
      <w:b/>
      <w:bCs/>
    </w:rPr>
  </w:style>
  <w:style w:type="character" w:styleId="afff6" w:customStyle="1">
    <w:name w:val="Тема примечания Знак"/>
    <w:link w:val="afff5"/>
    <w:rPr>
      <w:b/>
      <w:bCs/>
    </w:rPr>
  </w:style>
  <w:style w:type="character" w:styleId="extendedtext-short" w:customStyle="1">
    <w:name w:val="extendedtext-short"/>
  </w:style>
  <w:style w:type="character" w:styleId="organictextcontentspan" w:customStyle="1">
    <w:name w:val="organictextcontentspan"/>
  </w:style>
  <w:style w:type="paragraph" w:styleId="text-justif" w:customStyle="1">
    <w:name w:val="text-justif"/>
    <w:basedOn w:val="a"/>
    <w:pPr>
      <w:spacing w:before="100" w:beforeAutospacing="1" w:after="100" w:afterAutospacing="1"/>
    </w:pPr>
  </w:style>
  <w:style w:type="character" w:styleId="oznaimen" w:customStyle="1">
    <w:name w:val="oz_naimen"/>
  </w:style>
  <w:style w:type="character" w:styleId="bx-messenger-message" w:customStyle="1">
    <w:name w:val="bx-messenger-message"/>
  </w:style>
  <w:style w:type="character" w:styleId="bx-messenger-content-item-like" w:customStyle="1">
    <w:name w:val="bx-messenger-content-item-like"/>
  </w:style>
  <w:style w:type="character" w:styleId="bx-messenger-content-like-button" w:customStyle="1">
    <w:name w:val="bx-messenger-content-like-button"/>
  </w:style>
  <w:style w:type="character" w:styleId="bx-messenger-content-item-date" w:customStyle="1">
    <w:name w:val="bx-messenger-content-item-date"/>
  </w:style>
  <w:style w:type="paragraph" w:styleId="topic-bodycontent-text" w:customStyle="1">
    <w:name w:val="topic-body__content-text"/>
    <w:basedOn w:val="a"/>
    <w:pPr>
      <w:spacing w:before="100" w:beforeAutospacing="1" w:after="100" w:afterAutospacing="1"/>
    </w:pPr>
  </w:style>
  <w:style w:type="paragraph" w:styleId="2a" w:customStyle="1">
    <w:name w:val="Абзац списка2"/>
    <w:basedOn w:val="a"/>
    <w:pPr>
      <w:ind w:left="720"/>
      <w:jc w:val="center"/>
    </w:pPr>
    <w:rPr>
      <w:rFonts w:eastAsia="Calibri"/>
    </w:rPr>
  </w:style>
  <w:style w:type="paragraph" w:styleId="docdata" w:customStyle="1">
    <w:name w:val="docdata"/>
    <w:basedOn w:val="a"/>
    <w:pPr>
      <w:spacing w:before="100" w:beforeAutospacing="1" w:after="100" w:afterAutospacing="1"/>
    </w:pPr>
  </w:style>
  <w:style w:type="paragraph" w:styleId="StGen0" w:customStyle="1">
    <w:name w:val="StGen0"/>
    <w:qFormat/>
    <w:pPr>
      <w:pBdr>
        <w:top w:val="none" w:color="000000" w:sz="4" w:space="0"/>
        <w:left w:val="none" w:color="000000" w:sz="4" w:space="0"/>
        <w:bottom w:val="none" w:color="000000" w:sz="4" w:space="0"/>
        <w:right w:val="none" w:color="000000" w:sz="4" w:space="0"/>
        <w:between w:val="none" w:color="000000" w:sz="4" w:space="0"/>
      </w:pBdr>
      <w:jc w:val="center"/>
    </w:pPr>
    <w:rPr>
      <w:b/>
      <w:sz w:val="24"/>
    </w:rPr>
  </w:style>
  <w:style w:type="paragraph" w:styleId="paragraph" w:customStyle="1">
    <w:name w:val="paragraph"/>
    <w:pPr>
      <w:pBdr>
        <w:top w:val="none" w:color="000000" w:sz="4" w:space="0"/>
        <w:left w:val="none" w:color="000000" w:sz="4" w:space="0"/>
        <w:bottom w:val="none" w:color="000000" w:sz="4" w:space="0"/>
        <w:right w:val="none" w:color="000000" w:sz="4" w:space="0"/>
        <w:between w:val="none" w:color="000000" w:sz="4" w:space="0"/>
      </w:pBdr>
      <w:spacing w:before="100" w:beforeAutospacing="1" w:after="100" w:afterAutospacing="1"/>
    </w:pPr>
    <w:rPr>
      <w:sz w:val="24"/>
      <w:szCs w:val="24"/>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E5B6F-E5E6-4B68-926C-7DCDFEAEC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Р7-Офис/2024.4.1.630</Application>
  <Characters>35881</Characters>
  <CharactersWithSpaces>42091</CharactersWithSpaces>
  <Company>Microsoft</Company>
  <DocSecurity>0</DocSecurity>
  <HyperlinksChanged>false</HyperlinksChanged>
  <Lines>299</Lines>
  <LinksUpToDate>false</LinksUpToDate>
  <Pages>23</Pages>
  <Paragraphs>84</Paragraphs>
  <ScaleCrop>false</ScaleCrop>
  <SharedDoc>false</SharedDoc>
  <Template>Normal</Template>
  <TotalTime>0</TotalTime>
  <Words>6294</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dc:title>
  <dc:subject/>
  <dc:creator>Тябин К.В.</dc:creator>
  <cp:keywords/>
  <cp:lastModifiedBy>АсабинаИН</cp:lastModifiedBy>
  <cp:revision>3</cp:revision>
  <cp:lastPrinted>2025-10-29T06:37:00Z</cp:lastPrinted>
  <dcterms:created xsi:type="dcterms:W3CDTF">2025-10-30T12:46:00Z</dcterms:created>
  <dcterms:modified xsi:type="dcterms:W3CDTF">2025-10-30T12:46:00Z</dcterms:modified>
</cp:coreProperties>
</file>